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055AE6" w:rsidP="0054092F">
      <w:pPr>
        <w:pStyle w:val="Heading2"/>
        <w:numPr>
          <w:ilvl w:val="0"/>
          <w:numId w:val="0"/>
        </w:numPr>
        <w:spacing w:before="60"/>
        <w:rPr>
          <w:color w:val="auto"/>
          <w:sz w:val="48"/>
          <w:szCs w:val="48"/>
        </w:rPr>
      </w:pPr>
      <w:bookmarkStart w:id="0" w:name="_GoBack"/>
      <w:bookmarkEnd w:id="0"/>
      <w:r>
        <w:rPr>
          <w:color w:val="auto"/>
          <w:sz w:val="48"/>
          <w:szCs w:val="48"/>
        </w:rPr>
        <w:t>State code 9: Great Barrier Reef wetland protection areas</w:t>
      </w:r>
    </w:p>
    <w:p w:rsidR="00D869A8" w:rsidRPr="00644DFE" w:rsidRDefault="00D869A8" w:rsidP="00D869A8"/>
    <w:p w:rsidR="0082382C" w:rsidRPr="00DD61E1" w:rsidRDefault="00055AE6" w:rsidP="00D869A8">
      <w:pPr>
        <w:rPr>
          <w:sz w:val="32"/>
          <w:szCs w:val="36"/>
        </w:rPr>
      </w:pPr>
      <w:r>
        <w:rPr>
          <w:sz w:val="32"/>
          <w:szCs w:val="36"/>
        </w:rPr>
        <w:t>Table 9.2.1: All development</w:t>
      </w:r>
      <w:r w:rsidR="0054092F"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842B54" w:rsidRPr="00644DFE" w:rsidTr="00190CDB">
        <w:trPr>
          <w:trHeight w:val="20"/>
          <w:tblHeader/>
        </w:trPr>
        <w:tc>
          <w:tcPr>
            <w:tcW w:w="1665" w:type="pct"/>
            <w:tcBorders>
              <w:left w:val="single" w:sz="4" w:space="0" w:color="333333"/>
              <w:bottom w:val="single" w:sz="4" w:space="0" w:color="333333"/>
              <w:right w:val="single" w:sz="4" w:space="0" w:color="333333"/>
            </w:tcBorders>
            <w:shd w:val="clear" w:color="auto" w:fill="000000" w:themeFill="text1"/>
            <w:vAlign w:val="center"/>
          </w:tcPr>
          <w:p w:rsidR="00842B54" w:rsidRPr="007F437F" w:rsidRDefault="00842B54" w:rsidP="00D869A8">
            <w:pPr>
              <w:pStyle w:val="TableHeadingLeft-White"/>
              <w:rPr>
                <w:b/>
                <w:color w:val="auto"/>
                <w:sz w:val="24"/>
                <w:szCs w:val="24"/>
              </w:rPr>
            </w:pPr>
            <w:r w:rsidRPr="007F437F">
              <w:rPr>
                <w:b/>
                <w:color w:val="auto"/>
                <w:sz w:val="24"/>
                <w:szCs w:val="24"/>
              </w:rPr>
              <w:t>Performance outcomes</w:t>
            </w:r>
          </w:p>
        </w:tc>
        <w:tc>
          <w:tcPr>
            <w:tcW w:w="1665" w:type="pct"/>
            <w:tcBorders>
              <w:left w:val="single" w:sz="4" w:space="0" w:color="333333"/>
              <w:bottom w:val="single" w:sz="4" w:space="0" w:color="333333"/>
              <w:right w:val="single" w:sz="4" w:space="0" w:color="333333"/>
            </w:tcBorders>
            <w:shd w:val="clear" w:color="auto" w:fill="000000" w:themeFill="text1"/>
            <w:vAlign w:val="center"/>
          </w:tcPr>
          <w:p w:rsidR="00842B54" w:rsidRPr="007F437F" w:rsidRDefault="00842B54" w:rsidP="00D869A8">
            <w:pPr>
              <w:pStyle w:val="TableHeadingLeft-White"/>
              <w:rPr>
                <w:b/>
                <w:color w:val="auto"/>
                <w:sz w:val="24"/>
                <w:szCs w:val="24"/>
              </w:rPr>
            </w:pPr>
            <w:r w:rsidRPr="007F437F">
              <w:rPr>
                <w:b/>
                <w:color w:val="auto"/>
                <w:sz w:val="24"/>
                <w:szCs w:val="24"/>
              </w:rPr>
              <w:t>Acceptable outcomes</w:t>
            </w:r>
          </w:p>
        </w:tc>
        <w:tc>
          <w:tcPr>
            <w:tcW w:w="1665" w:type="pct"/>
            <w:tcBorders>
              <w:left w:val="single" w:sz="4" w:space="0" w:color="333333"/>
              <w:bottom w:val="single" w:sz="4" w:space="0" w:color="333333"/>
              <w:right w:val="single" w:sz="4" w:space="0" w:color="333333"/>
            </w:tcBorders>
            <w:shd w:val="clear" w:color="auto" w:fill="000000" w:themeFill="text1"/>
          </w:tcPr>
          <w:p w:rsidR="00842B54" w:rsidRPr="007F437F" w:rsidRDefault="00842B54" w:rsidP="00D869A8">
            <w:pPr>
              <w:pStyle w:val="TableHeadingLeft-White"/>
              <w:rPr>
                <w:b/>
                <w:color w:val="auto"/>
                <w:sz w:val="24"/>
                <w:szCs w:val="24"/>
              </w:rPr>
            </w:pPr>
            <w:r w:rsidRPr="007F437F">
              <w:rPr>
                <w:b/>
                <w:color w:val="auto"/>
                <w:sz w:val="24"/>
                <w:szCs w:val="24"/>
              </w:rPr>
              <w:t>Response</w:t>
            </w:r>
          </w:p>
        </w:tc>
      </w:tr>
      <w:tr w:rsidR="007370D3" w:rsidRPr="00644DFE" w:rsidTr="00885D5C">
        <w:tc>
          <w:tcPr>
            <w:tcW w:w="1665" w:type="pct"/>
            <w:gridSpan w:val="3"/>
            <w:tcBorders>
              <w:top w:val="single" w:sz="4" w:space="0" w:color="333333"/>
              <w:left w:val="single" w:sz="4" w:space="0" w:color="333333"/>
              <w:right w:val="single" w:sz="4" w:space="0" w:color="333333"/>
            </w:tcBorders>
            <w:shd w:val="clear" w:color="auto" w:fill="A6A6A6" w:themeFill="background1" w:themeFillShade="A6"/>
          </w:tcPr>
          <w:p w:rsidR="007370D3" w:rsidRPr="00885D5C" w:rsidRDefault="00055AE6" w:rsidP="00885D5C">
            <w:pPr>
              <w:spacing w:before="0" w:after="0"/>
              <w:rPr>
                <w:rFonts w:cs="Arial"/>
                <w:b w:val="0"/>
                <w:szCs w:val="18"/>
              </w:rPr>
            </w:pPr>
            <w:r w:rsidRPr="00885D5C">
              <w:rPr>
                <w:rFonts w:cs="Arial"/>
                <w:b w:val="0"/>
                <w:szCs w:val="18"/>
              </w:rPr>
              <w:t>General</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pStyle w:val="TabletextAOs"/>
              <w:spacing w:before="0" w:after="0"/>
              <w:contextualSpacing/>
              <w:rPr>
                <w:rFonts w:cs="Arial"/>
                <w:b w:val="0"/>
                <w:sz w:val="20"/>
                <w:szCs w:val="20"/>
              </w:rPr>
            </w:pPr>
            <w:r w:rsidRPr="00190CDB">
              <w:rPr>
                <w:rFonts w:cs="Arial"/>
                <w:sz w:val="20"/>
                <w:szCs w:val="20"/>
              </w:rPr>
              <w:t>PO1</w:t>
            </w:r>
            <w:r w:rsidRPr="00190CDB">
              <w:rPr>
                <w:rFonts w:cs="Arial"/>
                <w:b w:val="0"/>
                <w:sz w:val="20"/>
                <w:szCs w:val="20"/>
              </w:rPr>
              <w:t xml:space="preserve"> Development is not carried out in a wetland in a wetland protection area. </w:t>
            </w:r>
          </w:p>
        </w:tc>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pStyle w:val="TabletextAOs"/>
              <w:spacing w:before="0" w:after="0"/>
              <w:contextualSpacing/>
              <w:rPr>
                <w:rFonts w:cs="Arial"/>
                <w:b w:val="0"/>
                <w:sz w:val="20"/>
                <w:szCs w:val="20"/>
              </w:rPr>
            </w:pPr>
            <w:r w:rsidRPr="00190CDB">
              <w:rPr>
                <w:rFonts w:cs="Arial"/>
                <w:b w:val="0"/>
                <w:sz w:val="20"/>
                <w:szCs w:val="20"/>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spacing w:before="0" w:after="0"/>
              <w:contextualSpacing/>
              <w:rPr>
                <w:i/>
                <w:sz w:val="20"/>
                <w:szCs w:val="20"/>
                <w:highlight w:val="lightGray"/>
                <w:lang w:eastAsia="en-US"/>
              </w:rPr>
            </w:pPr>
            <w:r w:rsidRPr="00190CDB">
              <w:rPr>
                <w:i/>
                <w:sz w:val="20"/>
                <w:szCs w:val="20"/>
                <w:highlight w:val="lightGray"/>
                <w:lang w:eastAsia="en-US"/>
              </w:rPr>
              <w:t>Complies with PO# / AO#</w:t>
            </w:r>
          </w:p>
          <w:p w:rsidR="00055AE6" w:rsidRPr="00190CDB" w:rsidRDefault="00055AE6" w:rsidP="00885D5C">
            <w:pPr>
              <w:spacing w:before="0" w:after="0"/>
              <w:contextualSpacing/>
              <w:rPr>
                <w:b w:val="0"/>
                <w:i/>
                <w:sz w:val="20"/>
                <w:szCs w:val="20"/>
                <w:highlight w:val="lightGray"/>
                <w:lang w:eastAsia="en-US"/>
              </w:rPr>
            </w:pPr>
            <w:r w:rsidRPr="00190CDB">
              <w:rPr>
                <w:b w:val="0"/>
                <w:i/>
                <w:sz w:val="20"/>
                <w:szCs w:val="20"/>
                <w:highlight w:val="lightGray"/>
                <w:lang w:eastAsia="en-US"/>
              </w:rPr>
              <w:t>Use this column to indicate whether compliance is achieved with the relevant PO or AO (or if they do not apply), and explain why</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pStyle w:val="TabletextAOs"/>
              <w:spacing w:before="0" w:after="0"/>
              <w:contextualSpacing/>
              <w:rPr>
                <w:rFonts w:cs="Arial"/>
                <w:b w:val="0"/>
                <w:sz w:val="20"/>
                <w:szCs w:val="20"/>
              </w:rPr>
            </w:pPr>
            <w:r w:rsidRPr="00190CDB">
              <w:rPr>
                <w:rFonts w:cs="Arial"/>
                <w:sz w:val="20"/>
                <w:szCs w:val="20"/>
              </w:rPr>
              <w:t xml:space="preserve">PO2 </w:t>
            </w:r>
            <w:r w:rsidRPr="00190CDB">
              <w:rPr>
                <w:rFonts w:cs="Arial"/>
                <w:b w:val="0"/>
                <w:sz w:val="20"/>
                <w:szCs w:val="20"/>
              </w:rPr>
              <w:t xml:space="preserve">Development provides an adequate buffer surrounding a wetland to: </w:t>
            </w:r>
          </w:p>
          <w:p w:rsidR="00055AE6" w:rsidRPr="00190CDB" w:rsidRDefault="00055AE6" w:rsidP="00885D5C">
            <w:pPr>
              <w:pStyle w:val="TabletextAOs"/>
              <w:numPr>
                <w:ilvl w:val="0"/>
                <w:numId w:val="23"/>
              </w:numPr>
              <w:spacing w:before="0" w:after="0"/>
              <w:ind w:left="357" w:hanging="357"/>
              <w:contextualSpacing/>
              <w:rPr>
                <w:rFonts w:cs="Arial"/>
                <w:b w:val="0"/>
                <w:sz w:val="20"/>
                <w:szCs w:val="20"/>
              </w:rPr>
            </w:pPr>
            <w:r w:rsidRPr="00190CDB">
              <w:rPr>
                <w:rFonts w:cs="Arial"/>
                <w:b w:val="0"/>
                <w:sz w:val="20"/>
                <w:szCs w:val="20"/>
              </w:rPr>
              <w:t xml:space="preserve">maintain and protect wetland environmental values; and </w:t>
            </w:r>
          </w:p>
          <w:p w:rsidR="00055AE6" w:rsidRPr="00190CDB" w:rsidRDefault="00055AE6" w:rsidP="00885D5C">
            <w:pPr>
              <w:pStyle w:val="TabletextAOs"/>
              <w:numPr>
                <w:ilvl w:val="0"/>
                <w:numId w:val="23"/>
              </w:numPr>
              <w:spacing w:before="0" w:after="0"/>
              <w:ind w:left="357" w:hanging="357"/>
              <w:contextualSpacing/>
              <w:rPr>
                <w:rFonts w:cs="Arial"/>
                <w:b w:val="0"/>
                <w:sz w:val="20"/>
                <w:szCs w:val="20"/>
              </w:rPr>
            </w:pPr>
            <w:r w:rsidRPr="00190CDB">
              <w:rPr>
                <w:rFonts w:cs="Arial"/>
                <w:b w:val="0"/>
                <w:sz w:val="20"/>
                <w:szCs w:val="20"/>
              </w:rPr>
              <w:t>avoid adverse impacts on native vegetation within the wetland and the buffer.</w:t>
            </w:r>
          </w:p>
        </w:tc>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pStyle w:val="TabletextAOs"/>
              <w:spacing w:before="0" w:after="0"/>
              <w:contextualSpacing/>
              <w:rPr>
                <w:rFonts w:cs="Arial"/>
                <w:b w:val="0"/>
                <w:sz w:val="20"/>
                <w:szCs w:val="20"/>
              </w:rPr>
            </w:pPr>
            <w:r w:rsidRPr="00190CDB">
              <w:rPr>
                <w:rFonts w:cs="Arial"/>
                <w:sz w:val="20"/>
                <w:szCs w:val="20"/>
              </w:rPr>
              <w:t>AO2.1</w:t>
            </w:r>
            <w:r w:rsidRPr="00190CDB">
              <w:rPr>
                <w:rFonts w:cs="Arial"/>
                <w:b w:val="0"/>
                <w:sz w:val="20"/>
                <w:szCs w:val="20"/>
              </w:rPr>
              <w:t xml:space="preserve"> The buffer surrounding a </w:t>
            </w:r>
            <w:proofErr w:type="gramStart"/>
            <w:r w:rsidRPr="00190CDB">
              <w:rPr>
                <w:rFonts w:cs="Arial"/>
                <w:b w:val="0"/>
                <w:sz w:val="20"/>
                <w:szCs w:val="20"/>
              </w:rPr>
              <w:t>wetland  has</w:t>
            </w:r>
            <w:proofErr w:type="gramEnd"/>
            <w:r w:rsidRPr="00190CDB">
              <w:rPr>
                <w:rFonts w:cs="Arial"/>
                <w:b w:val="0"/>
                <w:sz w:val="20"/>
                <w:szCs w:val="20"/>
              </w:rPr>
              <w:t xml:space="preserve"> a minimum width of:</w:t>
            </w:r>
          </w:p>
          <w:p w:rsidR="00055AE6" w:rsidRPr="00190CDB" w:rsidRDefault="00055AE6" w:rsidP="00885D5C">
            <w:pPr>
              <w:pStyle w:val="TabletextAOs"/>
              <w:numPr>
                <w:ilvl w:val="0"/>
                <w:numId w:val="22"/>
              </w:numPr>
              <w:spacing w:before="0" w:after="0"/>
              <w:ind w:left="357" w:hanging="357"/>
              <w:contextualSpacing/>
              <w:rPr>
                <w:rFonts w:cs="Arial"/>
                <w:b w:val="0"/>
                <w:sz w:val="20"/>
                <w:szCs w:val="20"/>
              </w:rPr>
            </w:pPr>
            <w:r w:rsidRPr="00190CDB">
              <w:rPr>
                <w:rFonts w:cs="Arial"/>
                <w:b w:val="0"/>
                <w:sz w:val="20"/>
                <w:szCs w:val="20"/>
              </w:rPr>
              <w:t>200 metres, where the wetland is located outside a prescribed urban area; or</w:t>
            </w:r>
          </w:p>
          <w:p w:rsidR="00055AE6" w:rsidRPr="00190CDB" w:rsidRDefault="00055AE6" w:rsidP="00885D5C">
            <w:pPr>
              <w:pStyle w:val="TabletextAOs"/>
              <w:numPr>
                <w:ilvl w:val="0"/>
                <w:numId w:val="22"/>
              </w:numPr>
              <w:spacing w:before="0" w:after="0"/>
              <w:ind w:left="357" w:hanging="357"/>
              <w:contextualSpacing/>
              <w:rPr>
                <w:rFonts w:cs="Arial"/>
                <w:b w:val="0"/>
                <w:sz w:val="20"/>
                <w:szCs w:val="20"/>
              </w:rPr>
            </w:pPr>
            <w:r w:rsidRPr="00190CDB">
              <w:rPr>
                <w:rFonts w:cs="Arial"/>
                <w:b w:val="0"/>
                <w:sz w:val="20"/>
                <w:szCs w:val="20"/>
              </w:rPr>
              <w:t>50 metres, where the wetland is located within a prescribed urban area.</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885D5C">
        <w:trPr>
          <w:trHeight w:val="30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55AE6" w:rsidRPr="00190CDB" w:rsidRDefault="00055AE6" w:rsidP="00885D5C">
            <w:pPr>
              <w:spacing w:before="0" w:after="0"/>
              <w:rPr>
                <w:rFonts w:cs="Arial"/>
                <w:b w:val="0"/>
                <w:sz w:val="20"/>
                <w:szCs w:val="20"/>
              </w:rPr>
            </w:pPr>
            <w:r w:rsidRPr="00190CDB">
              <w:rPr>
                <w:rFonts w:cs="Arial"/>
                <w:b w:val="0"/>
                <w:sz w:val="20"/>
                <w:szCs w:val="20"/>
              </w:rPr>
              <w:t>Hydrology</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spacing w:before="0" w:after="0"/>
              <w:contextualSpacing/>
              <w:rPr>
                <w:rFonts w:cs="Arial"/>
                <w:b w:val="0"/>
                <w:sz w:val="20"/>
                <w:szCs w:val="20"/>
              </w:rPr>
            </w:pPr>
            <w:r w:rsidRPr="00190CDB">
              <w:rPr>
                <w:rFonts w:cs="Arial"/>
                <w:sz w:val="20"/>
                <w:szCs w:val="20"/>
              </w:rPr>
              <w:t>PO3</w:t>
            </w:r>
            <w:r w:rsidRPr="00190CDB">
              <w:rPr>
                <w:rFonts w:cs="Arial"/>
                <w:b w:val="0"/>
                <w:sz w:val="20"/>
                <w:szCs w:val="20"/>
              </w:rPr>
              <w:t xml:space="preserve"> Development enhances or avoids adverse impacts on the existing surface and groundwater hydrology in a wetland protection area, and, where adverse impacts cannot be reasonably avoided, impacts are mitigated.</w:t>
            </w:r>
          </w:p>
        </w:tc>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spacing w:before="0" w:after="0"/>
              <w:contextualSpacing/>
              <w:rPr>
                <w:rFonts w:cs="Arial"/>
                <w:b w:val="0"/>
                <w:sz w:val="20"/>
                <w:szCs w:val="20"/>
              </w:rPr>
            </w:pPr>
            <w:r w:rsidRPr="00190CDB">
              <w:rPr>
                <w:rFonts w:cs="Arial"/>
                <w:b w:val="0"/>
                <w:sz w:val="20"/>
                <w:szCs w:val="20"/>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885D5C">
        <w:trPr>
          <w:trHeight w:val="30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55AE6" w:rsidRPr="00190CDB" w:rsidRDefault="00055AE6" w:rsidP="00885D5C">
            <w:pPr>
              <w:spacing w:before="0" w:after="0"/>
              <w:rPr>
                <w:rFonts w:cs="Arial"/>
                <w:b w:val="0"/>
                <w:sz w:val="20"/>
                <w:szCs w:val="20"/>
              </w:rPr>
            </w:pPr>
            <w:r w:rsidRPr="00190CDB">
              <w:rPr>
                <w:rFonts w:cs="Arial"/>
                <w:b w:val="0"/>
                <w:sz w:val="20"/>
                <w:szCs w:val="20"/>
              </w:rPr>
              <w:t>Water quality</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spacing w:before="0" w:after="0"/>
              <w:contextualSpacing/>
              <w:rPr>
                <w:rFonts w:cs="Arial"/>
                <w:b w:val="0"/>
                <w:sz w:val="20"/>
                <w:szCs w:val="20"/>
              </w:rPr>
            </w:pPr>
            <w:r w:rsidRPr="00190CDB">
              <w:rPr>
                <w:rFonts w:cs="Arial"/>
                <w:sz w:val="20"/>
                <w:szCs w:val="20"/>
              </w:rPr>
              <w:t xml:space="preserve">PO4 </w:t>
            </w:r>
            <w:r w:rsidRPr="00190CDB">
              <w:rPr>
                <w:rFonts w:cs="Arial"/>
                <w:b w:val="0"/>
                <w:sz w:val="20"/>
                <w:szCs w:val="20"/>
              </w:rPr>
              <w:t>Development avoids adverse impacts to the water quality of the wetland in the wetland protection area and in the wetland buffer and where adverse impacts cannot be reasonably avoided, impacts are mitigated.</w:t>
            </w:r>
          </w:p>
        </w:tc>
        <w:tc>
          <w:tcPr>
            <w:tcW w:w="1665" w:type="pct"/>
            <w:tcBorders>
              <w:top w:val="single" w:sz="4" w:space="0" w:color="333333"/>
              <w:left w:val="single" w:sz="4" w:space="0" w:color="333333"/>
              <w:bottom w:val="single" w:sz="4" w:space="0" w:color="333333"/>
              <w:right w:val="single" w:sz="4" w:space="0" w:color="333333"/>
            </w:tcBorders>
          </w:tcPr>
          <w:p w:rsidR="00055AE6" w:rsidRPr="00190CDB" w:rsidRDefault="00055AE6" w:rsidP="00885D5C">
            <w:pPr>
              <w:spacing w:before="0" w:after="0"/>
              <w:contextualSpacing/>
              <w:rPr>
                <w:rFonts w:cs="Arial"/>
                <w:b w:val="0"/>
                <w:sz w:val="20"/>
                <w:szCs w:val="20"/>
              </w:rPr>
            </w:pPr>
            <w:r w:rsidRPr="00190CDB">
              <w:rPr>
                <w:rFonts w:cs="Arial"/>
                <w:b w:val="0"/>
                <w:sz w:val="20"/>
                <w:szCs w:val="20"/>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7B461A">
        <w:tc>
          <w:tcPr>
            <w:tcW w:w="1665" w:type="pct"/>
            <w:tcBorders>
              <w:top w:val="single" w:sz="4" w:space="0" w:color="333333"/>
              <w:left w:val="single" w:sz="4" w:space="0" w:color="333333"/>
              <w:right w:val="single" w:sz="4" w:space="0" w:color="333333"/>
            </w:tcBorders>
          </w:tcPr>
          <w:p w:rsidR="00055AE6" w:rsidRPr="00190CDB" w:rsidRDefault="00055AE6" w:rsidP="00885D5C">
            <w:pPr>
              <w:spacing w:before="0" w:after="0"/>
              <w:contextualSpacing/>
              <w:rPr>
                <w:rFonts w:cs="Arial"/>
                <w:b w:val="0"/>
                <w:sz w:val="20"/>
                <w:szCs w:val="20"/>
              </w:rPr>
            </w:pPr>
            <w:r w:rsidRPr="00190CDB">
              <w:rPr>
                <w:rFonts w:cs="Arial"/>
                <w:sz w:val="20"/>
                <w:szCs w:val="20"/>
              </w:rPr>
              <w:t>PO5</w:t>
            </w:r>
            <w:r w:rsidRPr="00190CDB">
              <w:rPr>
                <w:rFonts w:cs="Arial"/>
                <w:b w:val="0"/>
                <w:sz w:val="20"/>
                <w:szCs w:val="20"/>
              </w:rPr>
              <w:t xml:space="preserve"> Development does not use the wetland in the wetland protection area for stormwater treatment.</w:t>
            </w:r>
          </w:p>
        </w:tc>
        <w:tc>
          <w:tcPr>
            <w:tcW w:w="1665" w:type="pct"/>
            <w:tcBorders>
              <w:top w:val="single" w:sz="4" w:space="0" w:color="333333"/>
              <w:left w:val="single" w:sz="4" w:space="0" w:color="333333"/>
              <w:right w:val="single" w:sz="4" w:space="0" w:color="333333"/>
            </w:tcBorders>
          </w:tcPr>
          <w:p w:rsidR="00055AE6" w:rsidRPr="00190CDB" w:rsidRDefault="00055AE6" w:rsidP="00885D5C">
            <w:pPr>
              <w:spacing w:before="0" w:after="0"/>
              <w:contextualSpacing/>
              <w:rPr>
                <w:rFonts w:cs="Arial"/>
                <w:b w:val="0"/>
                <w:sz w:val="20"/>
                <w:szCs w:val="20"/>
              </w:rPr>
            </w:pPr>
            <w:r w:rsidRPr="00190CDB">
              <w:rPr>
                <w:rFonts w:cs="Arial"/>
                <w:b w:val="0"/>
                <w:sz w:val="20"/>
                <w:szCs w:val="20"/>
              </w:rPr>
              <w:t>No acceptable outcome is prescribed.</w:t>
            </w:r>
          </w:p>
        </w:tc>
        <w:tc>
          <w:tcPr>
            <w:tcW w:w="1665" w:type="pct"/>
            <w:tcBorders>
              <w:top w:val="single" w:sz="4" w:space="0" w:color="333333"/>
              <w:left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885D5C">
        <w:trPr>
          <w:trHeight w:val="296"/>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55AE6" w:rsidRPr="00190CDB" w:rsidRDefault="00055AE6" w:rsidP="00885D5C">
            <w:pPr>
              <w:spacing w:before="0" w:after="0"/>
              <w:rPr>
                <w:rFonts w:cs="Arial"/>
                <w:b w:val="0"/>
                <w:sz w:val="20"/>
                <w:szCs w:val="20"/>
              </w:rPr>
            </w:pPr>
            <w:r w:rsidRPr="00190CDB">
              <w:rPr>
                <w:rFonts w:cs="Arial"/>
                <w:b w:val="0"/>
                <w:sz w:val="20"/>
                <w:szCs w:val="20"/>
              </w:rPr>
              <w:t>Land degradation</w:t>
            </w:r>
          </w:p>
        </w:tc>
      </w:tr>
      <w:tr w:rsidR="0071653A" w:rsidRPr="00644DFE" w:rsidTr="007B461A">
        <w:tc>
          <w:tcPr>
            <w:tcW w:w="1665" w:type="pct"/>
            <w:tcBorders>
              <w:top w:val="single" w:sz="4" w:space="0" w:color="333333"/>
              <w:left w:val="single" w:sz="4" w:space="0" w:color="333333"/>
              <w:bottom w:val="single" w:sz="4" w:space="0" w:color="333333"/>
              <w:right w:val="single" w:sz="4" w:space="0" w:color="333333"/>
            </w:tcBorders>
          </w:tcPr>
          <w:p w:rsidR="0071653A" w:rsidRPr="00190CDB" w:rsidRDefault="0071653A" w:rsidP="00885D5C">
            <w:pPr>
              <w:spacing w:before="0" w:after="0"/>
              <w:contextualSpacing/>
              <w:rPr>
                <w:rFonts w:cs="Arial"/>
                <w:b w:val="0"/>
                <w:sz w:val="20"/>
                <w:szCs w:val="20"/>
              </w:rPr>
            </w:pPr>
            <w:r w:rsidRPr="00190CDB">
              <w:rPr>
                <w:rFonts w:cs="Arial"/>
                <w:sz w:val="20"/>
                <w:szCs w:val="20"/>
              </w:rPr>
              <w:t xml:space="preserve">PO6 </w:t>
            </w:r>
            <w:r w:rsidRPr="00190CDB">
              <w:rPr>
                <w:rFonts w:cs="Arial"/>
                <w:b w:val="0"/>
                <w:sz w:val="20"/>
                <w:szCs w:val="20"/>
              </w:rPr>
              <w:t>Development avoids land degradation in the wetland protection area and, where land degradation cannot be reasonably avoided, it is mitigated.</w:t>
            </w:r>
          </w:p>
        </w:tc>
        <w:tc>
          <w:tcPr>
            <w:tcW w:w="1665" w:type="pct"/>
            <w:tcBorders>
              <w:top w:val="single" w:sz="4" w:space="0" w:color="333333"/>
              <w:left w:val="single" w:sz="4" w:space="0" w:color="333333"/>
              <w:bottom w:val="single" w:sz="4" w:space="0" w:color="333333"/>
              <w:right w:val="single" w:sz="4" w:space="0" w:color="333333"/>
            </w:tcBorders>
          </w:tcPr>
          <w:p w:rsidR="0071653A" w:rsidRPr="00190CDB" w:rsidRDefault="0071653A" w:rsidP="00885D5C">
            <w:pPr>
              <w:spacing w:before="0" w:after="0"/>
              <w:contextualSpacing/>
              <w:rPr>
                <w:rFonts w:cs="Arial"/>
                <w:b w:val="0"/>
                <w:sz w:val="20"/>
                <w:szCs w:val="20"/>
              </w:rPr>
            </w:pPr>
            <w:r w:rsidRPr="00190CDB">
              <w:rPr>
                <w:rFonts w:cs="Arial"/>
                <w:b w:val="0"/>
                <w:sz w:val="20"/>
                <w:szCs w:val="20"/>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71653A" w:rsidRPr="00081544" w:rsidRDefault="0071653A" w:rsidP="00885D5C">
            <w:pPr>
              <w:spacing w:before="0" w:after="0"/>
              <w:contextualSpacing/>
              <w:rPr>
                <w:i/>
                <w:highlight w:val="lightGray"/>
                <w:lang w:eastAsia="en-US"/>
              </w:rPr>
            </w:pPr>
          </w:p>
        </w:tc>
      </w:tr>
      <w:tr w:rsidR="0071653A" w:rsidRPr="00644DFE" w:rsidTr="00885D5C">
        <w:trPr>
          <w:trHeight w:val="240"/>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71653A" w:rsidRPr="00190CDB" w:rsidRDefault="0071653A" w:rsidP="00885D5C">
            <w:pPr>
              <w:spacing w:before="0" w:after="0"/>
              <w:rPr>
                <w:rFonts w:cs="Arial"/>
                <w:b w:val="0"/>
                <w:sz w:val="20"/>
                <w:szCs w:val="20"/>
              </w:rPr>
            </w:pPr>
            <w:r w:rsidRPr="00190CDB">
              <w:rPr>
                <w:rFonts w:cs="Arial"/>
                <w:b w:val="0"/>
                <w:sz w:val="20"/>
                <w:szCs w:val="20"/>
              </w:rPr>
              <w:lastRenderedPageBreak/>
              <w:t>Vegetation</w:t>
            </w:r>
          </w:p>
        </w:tc>
      </w:tr>
      <w:tr w:rsidR="0071653A" w:rsidRPr="00644DFE" w:rsidTr="007B461A">
        <w:tc>
          <w:tcPr>
            <w:tcW w:w="1665" w:type="pct"/>
            <w:tcBorders>
              <w:top w:val="single" w:sz="4" w:space="0" w:color="333333"/>
              <w:left w:val="single" w:sz="4" w:space="0" w:color="333333"/>
              <w:bottom w:val="single" w:sz="4" w:space="0" w:color="333333"/>
              <w:right w:val="single" w:sz="4" w:space="0" w:color="333333"/>
            </w:tcBorders>
          </w:tcPr>
          <w:p w:rsidR="0071653A" w:rsidRPr="00190CDB" w:rsidRDefault="0071653A" w:rsidP="00885D5C">
            <w:pPr>
              <w:spacing w:before="0" w:after="0"/>
              <w:contextualSpacing/>
              <w:rPr>
                <w:rFonts w:cs="Arial"/>
                <w:b w:val="0"/>
                <w:sz w:val="20"/>
                <w:szCs w:val="20"/>
              </w:rPr>
            </w:pPr>
            <w:r w:rsidRPr="00190CDB">
              <w:rPr>
                <w:rFonts w:cs="Arial"/>
                <w:sz w:val="20"/>
                <w:szCs w:val="20"/>
              </w:rPr>
              <w:t>PO7</w:t>
            </w:r>
            <w:r w:rsidRPr="00190CDB">
              <w:rPr>
                <w:rFonts w:cs="Arial"/>
                <w:b w:val="0"/>
                <w:sz w:val="20"/>
                <w:szCs w:val="20"/>
              </w:rPr>
              <w:t xml:space="preserve"> Development outside the wetland and its buffer:</w:t>
            </w:r>
          </w:p>
          <w:p w:rsidR="0071653A" w:rsidRPr="00190CDB" w:rsidRDefault="0071653A" w:rsidP="00885D5C">
            <w:pPr>
              <w:pStyle w:val="ListParagraph"/>
              <w:numPr>
                <w:ilvl w:val="0"/>
                <w:numId w:val="24"/>
              </w:numPr>
              <w:spacing w:before="0" w:after="0" w:line="240" w:lineRule="auto"/>
              <w:ind w:left="357" w:hanging="357"/>
              <w:contextualSpacing/>
              <w:rPr>
                <w:rFonts w:cs="Arial"/>
                <w:b w:val="0"/>
                <w:szCs w:val="20"/>
              </w:rPr>
            </w:pPr>
            <w:r w:rsidRPr="00190CDB">
              <w:rPr>
                <w:rFonts w:cs="Arial"/>
                <w:b w:val="0"/>
                <w:szCs w:val="20"/>
              </w:rPr>
              <w:t>avoids impacts on category C areas of vegetation and category R areas of vegetation; or</w:t>
            </w:r>
          </w:p>
          <w:p w:rsidR="0071653A" w:rsidRPr="00190CDB" w:rsidRDefault="0071653A" w:rsidP="00885D5C">
            <w:pPr>
              <w:pStyle w:val="ListParagraph"/>
              <w:numPr>
                <w:ilvl w:val="0"/>
                <w:numId w:val="24"/>
              </w:numPr>
              <w:spacing w:before="0" w:after="0" w:line="240" w:lineRule="auto"/>
              <w:ind w:left="357" w:hanging="357"/>
              <w:contextualSpacing/>
              <w:rPr>
                <w:rFonts w:cs="Arial"/>
                <w:b w:val="0"/>
                <w:szCs w:val="20"/>
              </w:rPr>
            </w:pPr>
            <w:r w:rsidRPr="00190CDB">
              <w:rPr>
                <w:rFonts w:cs="Arial"/>
                <w:b w:val="0"/>
                <w:szCs w:val="20"/>
              </w:rPr>
              <w:t xml:space="preserve">minimises and mitigates impacts on category C areas of vegetation and category R areas of vegetation after demonstrating avoidance is not reasonably possible. </w:t>
            </w:r>
          </w:p>
        </w:tc>
        <w:tc>
          <w:tcPr>
            <w:tcW w:w="1665" w:type="pct"/>
            <w:tcBorders>
              <w:top w:val="single" w:sz="4" w:space="0" w:color="333333"/>
              <w:left w:val="single" w:sz="4" w:space="0" w:color="333333"/>
              <w:bottom w:val="single" w:sz="4" w:space="0" w:color="333333"/>
              <w:right w:val="single" w:sz="4" w:space="0" w:color="333333"/>
            </w:tcBorders>
          </w:tcPr>
          <w:p w:rsidR="0071653A" w:rsidRPr="00190CDB" w:rsidRDefault="0071653A" w:rsidP="00885D5C">
            <w:pPr>
              <w:spacing w:before="0" w:after="0"/>
              <w:contextualSpacing/>
              <w:rPr>
                <w:rFonts w:cs="Arial"/>
                <w:b w:val="0"/>
                <w:sz w:val="20"/>
                <w:szCs w:val="20"/>
              </w:rPr>
            </w:pPr>
            <w:r w:rsidRPr="00190CDB">
              <w:rPr>
                <w:rFonts w:cs="Arial"/>
                <w:b w:val="0"/>
                <w:sz w:val="20"/>
                <w:szCs w:val="20"/>
              </w:rPr>
              <w:t xml:space="preserve">No acceptable outcome is prescribed. </w:t>
            </w:r>
          </w:p>
        </w:tc>
        <w:tc>
          <w:tcPr>
            <w:tcW w:w="1665" w:type="pct"/>
            <w:tcBorders>
              <w:top w:val="single" w:sz="4" w:space="0" w:color="333333"/>
              <w:left w:val="single" w:sz="4" w:space="0" w:color="333333"/>
              <w:bottom w:val="single" w:sz="4" w:space="0" w:color="333333"/>
              <w:right w:val="single" w:sz="4" w:space="0" w:color="333333"/>
            </w:tcBorders>
          </w:tcPr>
          <w:p w:rsidR="0071653A" w:rsidRPr="00081544" w:rsidRDefault="0071653A" w:rsidP="00885D5C">
            <w:pPr>
              <w:spacing w:before="0" w:after="0"/>
              <w:contextualSpacing/>
              <w:rPr>
                <w:i/>
                <w:highlight w:val="lightGray"/>
                <w:lang w:eastAsia="en-US"/>
              </w:rPr>
            </w:pPr>
          </w:p>
        </w:tc>
      </w:tr>
      <w:tr w:rsidR="0071653A" w:rsidRPr="00644DFE" w:rsidTr="00885D5C">
        <w:trPr>
          <w:trHeight w:val="30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71653A" w:rsidRPr="00190CDB" w:rsidRDefault="0071653A" w:rsidP="00885D5C">
            <w:pPr>
              <w:spacing w:before="0" w:after="0"/>
              <w:rPr>
                <w:rFonts w:cs="Arial"/>
                <w:b w:val="0"/>
                <w:sz w:val="20"/>
                <w:szCs w:val="20"/>
              </w:rPr>
            </w:pPr>
            <w:r w:rsidRPr="00190CDB">
              <w:rPr>
                <w:rFonts w:cs="Arial"/>
                <w:b w:val="0"/>
                <w:sz w:val="20"/>
                <w:szCs w:val="20"/>
              </w:rPr>
              <w:t>Fauna management</w:t>
            </w:r>
          </w:p>
        </w:tc>
      </w:tr>
      <w:tr w:rsidR="0071653A" w:rsidRPr="00644DFE" w:rsidTr="007B461A">
        <w:tc>
          <w:tcPr>
            <w:tcW w:w="1665" w:type="pct"/>
            <w:tcBorders>
              <w:top w:val="single" w:sz="4" w:space="0" w:color="333333"/>
              <w:left w:val="single" w:sz="4" w:space="0" w:color="333333"/>
              <w:bottom w:val="single" w:sz="4" w:space="0" w:color="333333"/>
              <w:right w:val="single" w:sz="4" w:space="0" w:color="333333"/>
            </w:tcBorders>
          </w:tcPr>
          <w:p w:rsidR="0071653A" w:rsidRPr="00190CDB" w:rsidRDefault="0071653A" w:rsidP="00885D5C">
            <w:pPr>
              <w:spacing w:before="0" w:after="0"/>
              <w:contextualSpacing/>
              <w:rPr>
                <w:rFonts w:cs="Arial"/>
                <w:b w:val="0"/>
                <w:sz w:val="20"/>
                <w:szCs w:val="20"/>
              </w:rPr>
            </w:pPr>
            <w:r w:rsidRPr="00190CDB">
              <w:rPr>
                <w:rFonts w:cs="Arial"/>
                <w:sz w:val="20"/>
                <w:szCs w:val="20"/>
              </w:rPr>
              <w:t>PO8</w:t>
            </w:r>
            <w:r w:rsidRPr="00190CDB">
              <w:rPr>
                <w:rFonts w:cs="Arial"/>
                <w:b w:val="0"/>
                <w:sz w:val="20"/>
                <w:szCs w:val="20"/>
              </w:rPr>
              <w:t xml:space="preserve"> Development:</w:t>
            </w:r>
          </w:p>
          <w:p w:rsidR="0071653A" w:rsidRPr="00190CDB" w:rsidRDefault="0071653A" w:rsidP="00885D5C">
            <w:pPr>
              <w:pStyle w:val="ListParagraph"/>
              <w:numPr>
                <w:ilvl w:val="0"/>
                <w:numId w:val="25"/>
              </w:numPr>
              <w:spacing w:before="0" w:after="0" w:line="240" w:lineRule="auto"/>
              <w:ind w:left="357" w:hanging="357"/>
              <w:contextualSpacing/>
              <w:rPr>
                <w:rFonts w:cs="Arial"/>
                <w:b w:val="0"/>
                <w:szCs w:val="20"/>
              </w:rPr>
            </w:pPr>
            <w:r w:rsidRPr="00190CDB">
              <w:rPr>
                <w:rFonts w:cs="Arial"/>
                <w:b w:val="0"/>
                <w:szCs w:val="20"/>
              </w:rPr>
              <w:t>protects wetland fauna from any impacts associated with noise, light or visual disturbance</w:t>
            </w:r>
          </w:p>
          <w:p w:rsidR="0071653A" w:rsidRPr="00190CDB" w:rsidRDefault="0071653A" w:rsidP="00885D5C">
            <w:pPr>
              <w:pStyle w:val="ListParagraph"/>
              <w:numPr>
                <w:ilvl w:val="0"/>
                <w:numId w:val="25"/>
              </w:numPr>
              <w:spacing w:before="0" w:after="0" w:line="240" w:lineRule="auto"/>
              <w:ind w:left="357" w:hanging="357"/>
              <w:contextualSpacing/>
              <w:rPr>
                <w:rFonts w:cs="Arial"/>
                <w:b w:val="0"/>
                <w:szCs w:val="20"/>
              </w:rPr>
            </w:pPr>
            <w:r w:rsidRPr="00190CDB">
              <w:rPr>
                <w:rFonts w:cs="Arial"/>
                <w:b w:val="0"/>
                <w:szCs w:val="20"/>
              </w:rPr>
              <w:t xml:space="preserve">protects the movement of wetland fauna within and through a wetland protection area; and </w:t>
            </w:r>
          </w:p>
          <w:p w:rsidR="0071653A" w:rsidRPr="00190CDB" w:rsidRDefault="0071653A" w:rsidP="00885D5C">
            <w:pPr>
              <w:pStyle w:val="ListParagraph"/>
              <w:numPr>
                <w:ilvl w:val="0"/>
                <w:numId w:val="25"/>
              </w:numPr>
              <w:spacing w:before="0" w:after="0" w:line="240" w:lineRule="auto"/>
              <w:ind w:left="357" w:hanging="357"/>
              <w:contextualSpacing/>
              <w:rPr>
                <w:rFonts w:cs="Arial"/>
                <w:b w:val="0"/>
                <w:szCs w:val="20"/>
              </w:rPr>
            </w:pPr>
            <w:r w:rsidRPr="00190CDB">
              <w:rPr>
                <w:rFonts w:cs="Arial"/>
                <w:b w:val="0"/>
                <w:szCs w:val="20"/>
              </w:rPr>
              <w:t>does not introduce pest plants, pest animals or exotic species into a wetland and its buffer.</w:t>
            </w:r>
          </w:p>
        </w:tc>
        <w:tc>
          <w:tcPr>
            <w:tcW w:w="1665" w:type="pct"/>
            <w:tcBorders>
              <w:top w:val="single" w:sz="4" w:space="0" w:color="333333"/>
              <w:left w:val="single" w:sz="4" w:space="0" w:color="333333"/>
              <w:bottom w:val="single" w:sz="4" w:space="0" w:color="333333"/>
              <w:right w:val="single" w:sz="4" w:space="0" w:color="333333"/>
            </w:tcBorders>
          </w:tcPr>
          <w:p w:rsidR="0071653A" w:rsidRPr="00190CDB" w:rsidRDefault="0071653A" w:rsidP="00885D5C">
            <w:pPr>
              <w:spacing w:before="0" w:after="0"/>
              <w:contextualSpacing/>
              <w:rPr>
                <w:rFonts w:cs="Arial"/>
                <w:b w:val="0"/>
                <w:sz w:val="20"/>
                <w:szCs w:val="20"/>
              </w:rPr>
            </w:pPr>
            <w:r w:rsidRPr="00190CDB">
              <w:rPr>
                <w:rFonts w:cs="Arial"/>
                <w:b w:val="0"/>
                <w:sz w:val="20"/>
                <w:szCs w:val="20"/>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71653A" w:rsidRPr="00081544" w:rsidRDefault="0071653A" w:rsidP="00885D5C">
            <w:pPr>
              <w:spacing w:before="0" w:after="0"/>
              <w:contextualSpacing/>
              <w:rPr>
                <w:i/>
                <w:highlight w:val="lightGray"/>
                <w:lang w:eastAsia="en-US"/>
              </w:rPr>
            </w:pPr>
          </w:p>
        </w:tc>
      </w:tr>
      <w:tr w:rsidR="0071653A" w:rsidRPr="00644DFE" w:rsidTr="00885D5C">
        <w:trPr>
          <w:trHeight w:val="23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71653A" w:rsidRPr="00190CDB" w:rsidRDefault="0071653A" w:rsidP="00885D5C">
            <w:pPr>
              <w:spacing w:before="0" w:after="0"/>
              <w:rPr>
                <w:rFonts w:cs="Arial"/>
                <w:b w:val="0"/>
                <w:sz w:val="20"/>
                <w:szCs w:val="20"/>
              </w:rPr>
            </w:pPr>
            <w:r w:rsidRPr="00190CDB">
              <w:rPr>
                <w:rFonts w:cs="Arial"/>
                <w:b w:val="0"/>
                <w:sz w:val="20"/>
                <w:szCs w:val="20"/>
              </w:rPr>
              <w:t>Matters of state environmental significance</w:t>
            </w:r>
          </w:p>
        </w:tc>
      </w:tr>
      <w:tr w:rsidR="0071653A" w:rsidRPr="00644DFE" w:rsidTr="007B461A">
        <w:tc>
          <w:tcPr>
            <w:tcW w:w="1665" w:type="pct"/>
            <w:tcBorders>
              <w:top w:val="single" w:sz="4" w:space="0" w:color="333333"/>
              <w:left w:val="single" w:sz="4" w:space="0" w:color="333333"/>
              <w:right w:val="single" w:sz="4" w:space="0" w:color="333333"/>
            </w:tcBorders>
          </w:tcPr>
          <w:p w:rsidR="0071653A" w:rsidRPr="00190CDB" w:rsidRDefault="0071653A" w:rsidP="007B461A">
            <w:pPr>
              <w:spacing w:before="0" w:after="0"/>
              <w:rPr>
                <w:rFonts w:cs="Arial"/>
                <w:b w:val="0"/>
                <w:sz w:val="20"/>
                <w:szCs w:val="20"/>
              </w:rPr>
            </w:pPr>
            <w:r w:rsidRPr="00190CDB">
              <w:rPr>
                <w:rFonts w:cs="Arial"/>
                <w:sz w:val="20"/>
                <w:szCs w:val="20"/>
              </w:rPr>
              <w:t>PO9</w:t>
            </w:r>
            <w:r w:rsidRPr="00190CDB">
              <w:rPr>
                <w:rFonts w:cs="Arial"/>
                <w:b w:val="0"/>
                <w:sz w:val="20"/>
                <w:szCs w:val="20"/>
              </w:rPr>
              <w:t xml:space="preserve"> Development outside the wetland:</w:t>
            </w:r>
          </w:p>
          <w:p w:rsidR="0071653A" w:rsidRPr="00190CDB" w:rsidRDefault="0071653A" w:rsidP="007B461A">
            <w:pPr>
              <w:pStyle w:val="ListParagraph"/>
              <w:numPr>
                <w:ilvl w:val="0"/>
                <w:numId w:val="26"/>
              </w:numPr>
              <w:spacing w:before="0" w:after="0" w:line="240" w:lineRule="auto"/>
              <w:ind w:left="357" w:hanging="357"/>
              <w:rPr>
                <w:rFonts w:cs="Arial"/>
                <w:b w:val="0"/>
                <w:szCs w:val="20"/>
              </w:rPr>
            </w:pPr>
            <w:r w:rsidRPr="00190CDB">
              <w:rPr>
                <w:rFonts w:cs="Arial"/>
                <w:b w:val="0"/>
                <w:szCs w:val="20"/>
              </w:rPr>
              <w:t xml:space="preserve">avoids impacts on matters of state environmental significance; or </w:t>
            </w:r>
          </w:p>
          <w:p w:rsidR="0071653A" w:rsidRPr="00190CDB" w:rsidRDefault="0071653A" w:rsidP="007B461A">
            <w:pPr>
              <w:pStyle w:val="ListParagraph"/>
              <w:numPr>
                <w:ilvl w:val="0"/>
                <w:numId w:val="26"/>
              </w:numPr>
              <w:spacing w:before="0" w:after="0" w:line="240" w:lineRule="auto"/>
              <w:ind w:left="357" w:hanging="357"/>
              <w:rPr>
                <w:rFonts w:cs="Arial"/>
                <w:b w:val="0"/>
                <w:szCs w:val="20"/>
              </w:rPr>
            </w:pPr>
            <w:r w:rsidRPr="00190CDB">
              <w:rPr>
                <w:rFonts w:cs="Arial"/>
                <w:b w:val="0"/>
                <w:szCs w:val="20"/>
              </w:rPr>
              <w:t>minimises and mitigates impacts on matters of state environmental significance after demonstrating avoidance is not reasonably possible; and</w:t>
            </w:r>
          </w:p>
          <w:p w:rsidR="0071653A" w:rsidRPr="00190CDB" w:rsidRDefault="0071653A" w:rsidP="007B461A">
            <w:pPr>
              <w:pStyle w:val="ListParagraph"/>
              <w:numPr>
                <w:ilvl w:val="0"/>
                <w:numId w:val="26"/>
              </w:numPr>
              <w:spacing w:before="0" w:after="0" w:line="240" w:lineRule="auto"/>
              <w:ind w:left="357" w:hanging="357"/>
              <w:rPr>
                <w:rFonts w:cs="Arial"/>
                <w:b w:val="0"/>
                <w:szCs w:val="20"/>
              </w:rPr>
            </w:pPr>
            <w:r w:rsidRPr="00190CDB">
              <w:rPr>
                <w:rFonts w:cs="Arial"/>
                <w:b w:val="0"/>
                <w:szCs w:val="20"/>
              </w:rPr>
              <w:t>provides an offset if, after demonstrating all reasonable avoidance minimisation and mitigation measures are undertaken, the development results in an acceptable significant residual impact on a matter of state environmental significance.</w:t>
            </w:r>
          </w:p>
          <w:p w:rsidR="007B461A" w:rsidRPr="00190CDB" w:rsidRDefault="007B461A" w:rsidP="00871BE4">
            <w:pPr>
              <w:tabs>
                <w:tab w:val="left" w:pos="1665"/>
              </w:tabs>
              <w:spacing w:before="0" w:after="0"/>
              <w:rPr>
                <w:rFonts w:cs="Arial"/>
                <w:b w:val="0"/>
                <w:sz w:val="20"/>
                <w:szCs w:val="20"/>
              </w:rPr>
            </w:pPr>
            <w:r w:rsidRPr="00190CDB">
              <w:rPr>
                <w:rFonts w:cs="Arial"/>
                <w:b w:val="0"/>
                <w:sz w:val="20"/>
                <w:szCs w:val="20"/>
              </w:rPr>
              <w:tab/>
            </w:r>
          </w:p>
          <w:p w:rsidR="0071653A" w:rsidRPr="00190CDB" w:rsidRDefault="0071653A" w:rsidP="007B461A">
            <w:pPr>
              <w:spacing w:before="0" w:after="0"/>
              <w:rPr>
                <w:rFonts w:cs="Arial"/>
                <w:b w:val="0"/>
                <w:sz w:val="18"/>
                <w:szCs w:val="18"/>
              </w:rPr>
            </w:pPr>
            <w:r w:rsidRPr="00190CDB">
              <w:rPr>
                <w:rFonts w:cs="Arial"/>
                <w:b w:val="0"/>
                <w:sz w:val="18"/>
                <w:szCs w:val="18"/>
              </w:rPr>
              <w:t xml:space="preserve">Note: 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w:t>
            </w:r>
            <w:r w:rsidRPr="00190CDB">
              <w:rPr>
                <w:rFonts w:cs="Arial"/>
                <w:b w:val="0"/>
                <w:sz w:val="18"/>
                <w:szCs w:val="18"/>
              </w:rPr>
              <w:lastRenderedPageBreak/>
              <w:t xml:space="preserve">impact on the matter of state environmental significance and an offset is considered appropriate, the offset should be delivered in accordance with the </w:t>
            </w:r>
            <w:r w:rsidRPr="00190CDB">
              <w:rPr>
                <w:rFonts w:cs="Arial"/>
                <w:b w:val="0"/>
                <w:i/>
                <w:sz w:val="18"/>
                <w:szCs w:val="18"/>
              </w:rPr>
              <w:t>Environmental Offsets Act 2004.</w:t>
            </w:r>
          </w:p>
        </w:tc>
        <w:tc>
          <w:tcPr>
            <w:tcW w:w="1665" w:type="pct"/>
            <w:tcBorders>
              <w:top w:val="single" w:sz="4" w:space="0" w:color="333333"/>
              <w:left w:val="single" w:sz="4" w:space="0" w:color="333333"/>
              <w:right w:val="single" w:sz="4" w:space="0" w:color="333333"/>
            </w:tcBorders>
          </w:tcPr>
          <w:p w:rsidR="0071653A" w:rsidRPr="00190CDB" w:rsidRDefault="0071653A" w:rsidP="007B461A">
            <w:pPr>
              <w:spacing w:before="0" w:after="0"/>
              <w:rPr>
                <w:rFonts w:cs="Arial"/>
                <w:b w:val="0"/>
                <w:sz w:val="20"/>
                <w:szCs w:val="20"/>
              </w:rPr>
            </w:pPr>
            <w:r w:rsidRPr="00190CDB">
              <w:rPr>
                <w:rFonts w:cs="Arial"/>
                <w:b w:val="0"/>
                <w:sz w:val="20"/>
                <w:szCs w:val="20"/>
              </w:rPr>
              <w:lastRenderedPageBreak/>
              <w:t>No acceptable outcome is prescribed.</w:t>
            </w:r>
          </w:p>
        </w:tc>
        <w:tc>
          <w:tcPr>
            <w:tcW w:w="1665" w:type="pct"/>
            <w:tcBorders>
              <w:top w:val="single" w:sz="4" w:space="0" w:color="333333"/>
              <w:left w:val="single" w:sz="4" w:space="0" w:color="333333"/>
              <w:right w:val="single" w:sz="4" w:space="0" w:color="333333"/>
            </w:tcBorders>
          </w:tcPr>
          <w:p w:rsidR="0071653A" w:rsidRPr="00081544" w:rsidRDefault="0071653A" w:rsidP="007B461A">
            <w:pPr>
              <w:spacing w:before="0" w:after="0"/>
              <w:rPr>
                <w:i/>
                <w:highlight w:val="lightGray"/>
                <w:lang w:eastAsia="en-US"/>
              </w:rPr>
            </w:pPr>
          </w:p>
        </w:tc>
      </w:tr>
    </w:tbl>
    <w:p w:rsidR="0001091E" w:rsidRPr="00644DFE" w:rsidRDefault="0001091E" w:rsidP="00D869A8"/>
    <w:p w:rsidR="00E213F3" w:rsidRPr="00644DFE" w:rsidRDefault="00E213F3" w:rsidP="00D869A8"/>
    <w:sectPr w:rsidR="00E213F3" w:rsidRPr="00644DFE" w:rsidSect="0071653A">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7E9" w:rsidRDefault="007427E9" w:rsidP="00D869A8">
      <w:r>
        <w:separator/>
      </w:r>
    </w:p>
    <w:p w:rsidR="007427E9" w:rsidRDefault="007427E9" w:rsidP="00D869A8"/>
    <w:p w:rsidR="007427E9" w:rsidRDefault="007427E9" w:rsidP="00D869A8"/>
    <w:p w:rsidR="007427E9" w:rsidRDefault="007427E9" w:rsidP="00D869A8"/>
    <w:p w:rsidR="007427E9" w:rsidRDefault="007427E9"/>
    <w:p w:rsidR="007427E9" w:rsidRDefault="007427E9"/>
    <w:p w:rsidR="007427E9" w:rsidRDefault="007427E9" w:rsidP="00055AE6"/>
    <w:p w:rsidR="007427E9" w:rsidRDefault="007427E9"/>
  </w:endnote>
  <w:endnote w:type="continuationSeparator" w:id="0">
    <w:p w:rsidR="007427E9" w:rsidRDefault="007427E9" w:rsidP="00D869A8">
      <w:r>
        <w:continuationSeparator/>
      </w:r>
    </w:p>
    <w:p w:rsidR="007427E9" w:rsidRDefault="007427E9" w:rsidP="00D869A8"/>
    <w:p w:rsidR="007427E9" w:rsidRDefault="007427E9" w:rsidP="00D869A8"/>
    <w:p w:rsidR="007427E9" w:rsidRDefault="007427E9" w:rsidP="00D869A8"/>
    <w:p w:rsidR="007427E9" w:rsidRDefault="007427E9"/>
    <w:p w:rsidR="007427E9" w:rsidRDefault="007427E9"/>
    <w:p w:rsidR="007427E9" w:rsidRDefault="007427E9" w:rsidP="00055AE6"/>
    <w:p w:rsidR="007427E9" w:rsidRDefault="00742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p w:rsidR="00B82EA1" w:rsidRDefault="00B82EA1"/>
  <w:p w:rsidR="00B82EA1" w:rsidRDefault="00B82EA1" w:rsidP="00055AE6"/>
  <w:p w:rsidR="0051607D" w:rsidRDefault="005160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D2219F">
      <w:t>version 2.</w:t>
    </w:r>
    <w:r w:rsidR="004E4FC9">
      <w:t>6</w:t>
    </w:r>
    <w:r w:rsidRPr="00682EC4">
      <w:tab/>
    </w:r>
    <w:r w:rsidR="001F10C6" w:rsidRPr="00682EC4">
      <w:tab/>
    </w:r>
  </w:p>
  <w:p w:rsidR="0001091E" w:rsidRPr="00682EC4" w:rsidRDefault="0071653A" w:rsidP="00D869A8">
    <w:pPr>
      <w:pStyle w:val="Footer"/>
    </w:pPr>
    <w:r>
      <w:t>State code 9</w:t>
    </w:r>
    <w:r w:rsidR="0054092F" w:rsidRPr="00682EC4">
      <w:t xml:space="preserve">: </w:t>
    </w:r>
    <w:r>
      <w:t>Great Barrier Reef wetland protection areas</w:t>
    </w:r>
    <w:r>
      <w:tab/>
      <w:t xml:space="preserve"> </w:t>
    </w:r>
    <w:r>
      <w:tab/>
    </w:r>
    <w:r>
      <w:tab/>
    </w:r>
    <w:r>
      <w:tab/>
    </w:r>
    <w:r>
      <w:tab/>
    </w:r>
    <w:r>
      <w:tab/>
    </w:r>
    <w:r>
      <w:tab/>
    </w:r>
    <w:r>
      <w:tab/>
    </w:r>
    <w:r w:rsidR="0001091E" w:rsidRPr="00682EC4">
      <w:t xml:space="preserve">Page </w:t>
    </w:r>
    <w:r w:rsidR="0001091E" w:rsidRPr="00682EC4">
      <w:fldChar w:fldCharType="begin"/>
    </w:r>
    <w:r w:rsidR="0001091E" w:rsidRPr="00682EC4">
      <w:instrText xml:space="preserve"> PAGE </w:instrText>
    </w:r>
    <w:r w:rsidR="0001091E" w:rsidRPr="00682EC4">
      <w:fldChar w:fldCharType="separate"/>
    </w:r>
    <w:r w:rsidR="00190CDB">
      <w:rPr>
        <w:noProof/>
      </w:rPr>
      <w:t>2</w:t>
    </w:r>
    <w:r w:rsidR="0001091E" w:rsidRPr="00682EC4">
      <w:fldChar w:fldCharType="end"/>
    </w:r>
    <w:r w:rsidR="0001091E" w:rsidRPr="00682EC4">
      <w:t xml:space="preserve"> of </w:t>
    </w:r>
    <w:fldSimple w:instr=" NUMPAGES ">
      <w:r w:rsidR="00190CDB">
        <w:rPr>
          <w:noProof/>
        </w:rPr>
        <w:t>3</w:t>
      </w:r>
    </w:fldSimple>
  </w:p>
  <w:p w:rsidR="003E6A20" w:rsidRDefault="003E6A20"/>
  <w:p w:rsidR="00B82EA1" w:rsidRDefault="00B82EA1"/>
  <w:p w:rsidR="00B82EA1" w:rsidRDefault="00B82EA1" w:rsidP="00055AE6"/>
  <w:p w:rsidR="0051607D" w:rsidRDefault="005160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7E9" w:rsidRDefault="007427E9" w:rsidP="00D869A8">
      <w:r>
        <w:separator/>
      </w:r>
    </w:p>
    <w:p w:rsidR="007427E9" w:rsidRDefault="007427E9" w:rsidP="00D869A8"/>
    <w:p w:rsidR="007427E9" w:rsidRDefault="007427E9" w:rsidP="00D869A8"/>
    <w:p w:rsidR="007427E9" w:rsidRDefault="007427E9" w:rsidP="00D869A8"/>
    <w:p w:rsidR="007427E9" w:rsidRDefault="007427E9"/>
    <w:p w:rsidR="007427E9" w:rsidRDefault="007427E9"/>
    <w:p w:rsidR="007427E9" w:rsidRDefault="007427E9" w:rsidP="00055AE6"/>
    <w:p w:rsidR="007427E9" w:rsidRDefault="007427E9"/>
  </w:footnote>
  <w:footnote w:type="continuationSeparator" w:id="0">
    <w:p w:rsidR="007427E9" w:rsidRDefault="007427E9" w:rsidP="00D869A8">
      <w:r>
        <w:continuationSeparator/>
      </w:r>
    </w:p>
    <w:p w:rsidR="007427E9" w:rsidRDefault="007427E9" w:rsidP="00D869A8"/>
    <w:p w:rsidR="007427E9" w:rsidRDefault="007427E9" w:rsidP="00D869A8"/>
    <w:p w:rsidR="007427E9" w:rsidRDefault="007427E9" w:rsidP="00D869A8"/>
    <w:p w:rsidR="007427E9" w:rsidRDefault="007427E9"/>
    <w:p w:rsidR="007427E9" w:rsidRDefault="007427E9"/>
    <w:p w:rsidR="007427E9" w:rsidRDefault="007427E9" w:rsidP="00055AE6"/>
    <w:p w:rsidR="007427E9" w:rsidRDefault="00742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0EFB571B"/>
    <w:multiLevelType w:val="hybridMultilevel"/>
    <w:tmpl w:val="A99AED34"/>
    <w:lvl w:ilvl="0" w:tplc="89169180">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CA72D9"/>
    <w:multiLevelType w:val="hybridMultilevel"/>
    <w:tmpl w:val="B76E78FE"/>
    <w:lvl w:ilvl="0" w:tplc="0C09000F">
      <w:start w:val="1"/>
      <w:numFmt w:val="decimal"/>
      <w:lvlText w:val="%1."/>
      <w:lvlJc w:val="left"/>
      <w:pPr>
        <w:ind w:left="720" w:hanging="360"/>
      </w:pPr>
    </w:lvl>
    <w:lvl w:ilvl="1" w:tplc="31B442A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0C65496"/>
    <w:multiLevelType w:val="hybridMultilevel"/>
    <w:tmpl w:val="78EA0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79E41D6"/>
    <w:multiLevelType w:val="hybridMultilevel"/>
    <w:tmpl w:val="D4823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1"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EEA601F"/>
    <w:multiLevelType w:val="hybridMultilevel"/>
    <w:tmpl w:val="7B665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7"/>
  </w:num>
  <w:num w:numId="3">
    <w:abstractNumId w:val="22"/>
  </w:num>
  <w:num w:numId="4">
    <w:abstractNumId w:val="25"/>
  </w:num>
  <w:num w:numId="5">
    <w:abstractNumId w:val="8"/>
  </w:num>
  <w:num w:numId="6">
    <w:abstractNumId w:val="2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9"/>
  </w:num>
  <w:num w:numId="18">
    <w:abstractNumId w:val="20"/>
  </w:num>
  <w:num w:numId="19">
    <w:abstractNumId w:val="16"/>
  </w:num>
  <w:num w:numId="20">
    <w:abstractNumId w:val="12"/>
  </w:num>
  <w:num w:numId="21">
    <w:abstractNumId w:val="19"/>
  </w:num>
  <w:num w:numId="22">
    <w:abstractNumId w:val="24"/>
  </w:num>
  <w:num w:numId="23">
    <w:abstractNumId w:val="11"/>
  </w:num>
  <w:num w:numId="24">
    <w:abstractNumId w:val="10"/>
  </w:num>
  <w:num w:numId="25">
    <w:abstractNumId w:val="18"/>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06A12"/>
    <w:rsid w:val="0001091E"/>
    <w:rsid w:val="0002510C"/>
    <w:rsid w:val="00055AE6"/>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90CDB"/>
    <w:rsid w:val="0019352F"/>
    <w:rsid w:val="00193C5D"/>
    <w:rsid w:val="00193E7B"/>
    <w:rsid w:val="001A14AA"/>
    <w:rsid w:val="001A5906"/>
    <w:rsid w:val="001C70C0"/>
    <w:rsid w:val="001D4094"/>
    <w:rsid w:val="001F10C6"/>
    <w:rsid w:val="00201EAF"/>
    <w:rsid w:val="00202E9F"/>
    <w:rsid w:val="0021512A"/>
    <w:rsid w:val="00246DB9"/>
    <w:rsid w:val="00247232"/>
    <w:rsid w:val="0026103D"/>
    <w:rsid w:val="00281EE9"/>
    <w:rsid w:val="00286808"/>
    <w:rsid w:val="00287FF3"/>
    <w:rsid w:val="00290331"/>
    <w:rsid w:val="002B25E3"/>
    <w:rsid w:val="002F71B3"/>
    <w:rsid w:val="00313C1B"/>
    <w:rsid w:val="003549FE"/>
    <w:rsid w:val="0036650E"/>
    <w:rsid w:val="00376B28"/>
    <w:rsid w:val="003D3803"/>
    <w:rsid w:val="003E6A20"/>
    <w:rsid w:val="003F71C9"/>
    <w:rsid w:val="00424BC7"/>
    <w:rsid w:val="004332A1"/>
    <w:rsid w:val="00447977"/>
    <w:rsid w:val="004912EC"/>
    <w:rsid w:val="00491ADD"/>
    <w:rsid w:val="0049696E"/>
    <w:rsid w:val="004B0F1E"/>
    <w:rsid w:val="004B6CA4"/>
    <w:rsid w:val="004C50FC"/>
    <w:rsid w:val="004D4CEC"/>
    <w:rsid w:val="004E4FC9"/>
    <w:rsid w:val="004F2AE0"/>
    <w:rsid w:val="004F3FBF"/>
    <w:rsid w:val="00505041"/>
    <w:rsid w:val="0051607D"/>
    <w:rsid w:val="00534FFF"/>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D02FC"/>
    <w:rsid w:val="006F0478"/>
    <w:rsid w:val="006F36D8"/>
    <w:rsid w:val="006F6771"/>
    <w:rsid w:val="0071097B"/>
    <w:rsid w:val="0071653A"/>
    <w:rsid w:val="00730A42"/>
    <w:rsid w:val="007370D3"/>
    <w:rsid w:val="007427E9"/>
    <w:rsid w:val="00744A44"/>
    <w:rsid w:val="00756201"/>
    <w:rsid w:val="0076449D"/>
    <w:rsid w:val="00785951"/>
    <w:rsid w:val="0079154C"/>
    <w:rsid w:val="007B461A"/>
    <w:rsid w:val="007B4F01"/>
    <w:rsid w:val="007D4D30"/>
    <w:rsid w:val="007F04EB"/>
    <w:rsid w:val="007F437F"/>
    <w:rsid w:val="007F43CF"/>
    <w:rsid w:val="0082382C"/>
    <w:rsid w:val="008347B7"/>
    <w:rsid w:val="008426C0"/>
    <w:rsid w:val="00842B54"/>
    <w:rsid w:val="00852389"/>
    <w:rsid w:val="00857309"/>
    <w:rsid w:val="00871BE4"/>
    <w:rsid w:val="00885D5C"/>
    <w:rsid w:val="0090424C"/>
    <w:rsid w:val="0092741D"/>
    <w:rsid w:val="0095228F"/>
    <w:rsid w:val="00971B51"/>
    <w:rsid w:val="00974393"/>
    <w:rsid w:val="00983C58"/>
    <w:rsid w:val="00991521"/>
    <w:rsid w:val="00996E28"/>
    <w:rsid w:val="00A110DE"/>
    <w:rsid w:val="00AC4254"/>
    <w:rsid w:val="00B03B88"/>
    <w:rsid w:val="00B1102D"/>
    <w:rsid w:val="00B20D9C"/>
    <w:rsid w:val="00B361DF"/>
    <w:rsid w:val="00B60C1E"/>
    <w:rsid w:val="00B80823"/>
    <w:rsid w:val="00B82EA1"/>
    <w:rsid w:val="00B840A1"/>
    <w:rsid w:val="00B90D04"/>
    <w:rsid w:val="00BB294C"/>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219F"/>
    <w:rsid w:val="00D275DC"/>
    <w:rsid w:val="00D36D7A"/>
    <w:rsid w:val="00D5760E"/>
    <w:rsid w:val="00D62A22"/>
    <w:rsid w:val="00D869A8"/>
    <w:rsid w:val="00D971A8"/>
    <w:rsid w:val="00DA51B6"/>
    <w:rsid w:val="00DB465C"/>
    <w:rsid w:val="00DD61E1"/>
    <w:rsid w:val="00DF4410"/>
    <w:rsid w:val="00DF619C"/>
    <w:rsid w:val="00E213F3"/>
    <w:rsid w:val="00E30C1E"/>
    <w:rsid w:val="00E313C0"/>
    <w:rsid w:val="00E8705B"/>
    <w:rsid w:val="00EF30A3"/>
    <w:rsid w:val="00F02D31"/>
    <w:rsid w:val="00F31F64"/>
    <w:rsid w:val="00F419CE"/>
    <w:rsid w:val="00F519C1"/>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0A8419-A816-47B4-B83D-EB612A0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7AA1-C94B-4A33-9F2D-24696009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code 9: Great Barrier Reef wetland protection areas - response template</vt:lpstr>
    </vt:vector>
  </TitlesOfParts>
  <Company>Queensland Government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9: Great Barrier Reef wetland protection areas - response template</dc:title>
  <dc:subject>Module 1.1 - Managing noise and vibration impacts from transport corridors state code</dc:subject>
  <dc:creator>Queensland Government</dc:creator>
  <cp:keywords/>
  <cp:lastModifiedBy>Sarah Shumack</cp:lastModifiedBy>
  <cp:revision>3</cp:revision>
  <cp:lastPrinted>2013-06-14T00:06:00Z</cp:lastPrinted>
  <dcterms:created xsi:type="dcterms:W3CDTF">2019-10-10T04:48:00Z</dcterms:created>
  <dcterms:modified xsi:type="dcterms:W3CDTF">2020-01-22T22:50:00Z</dcterms:modified>
</cp:coreProperties>
</file>