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A63846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>
        <w:rPr>
          <w:color w:val="auto"/>
          <w:sz w:val="48"/>
          <w:szCs w:val="48"/>
        </w:rPr>
        <w:t>State code 23</w:t>
      </w:r>
      <w:r w:rsidR="0054092F" w:rsidRPr="00682EC4">
        <w:rPr>
          <w:color w:val="auto"/>
          <w:sz w:val="48"/>
          <w:szCs w:val="48"/>
        </w:rPr>
        <w:t xml:space="preserve">: </w:t>
      </w:r>
      <w:r>
        <w:rPr>
          <w:color w:val="auto"/>
          <w:sz w:val="48"/>
          <w:szCs w:val="48"/>
        </w:rPr>
        <w:t>Wind farm development</w:t>
      </w:r>
    </w:p>
    <w:p w:rsidR="00D869A8" w:rsidRPr="00644DFE" w:rsidRDefault="00D869A8" w:rsidP="00070A49"/>
    <w:p w:rsidR="0082382C" w:rsidRPr="00142504" w:rsidRDefault="0054092F" w:rsidP="00070A49">
      <w:pPr>
        <w:rPr>
          <w:b/>
          <w:sz w:val="32"/>
          <w:szCs w:val="32"/>
        </w:rPr>
      </w:pPr>
      <w:r w:rsidRPr="00142504">
        <w:rPr>
          <w:b/>
          <w:sz w:val="32"/>
          <w:szCs w:val="32"/>
        </w:rPr>
        <w:t xml:space="preserve">Table </w:t>
      </w:r>
      <w:r w:rsidR="00E03276" w:rsidRPr="00142504">
        <w:rPr>
          <w:b/>
          <w:sz w:val="32"/>
          <w:szCs w:val="32"/>
        </w:rPr>
        <w:t>23.2.1</w:t>
      </w:r>
      <w:r w:rsidRPr="00142504">
        <w:rPr>
          <w:b/>
          <w:sz w:val="32"/>
          <w:szCs w:val="32"/>
        </w:rPr>
        <w:t xml:space="preserve">: </w:t>
      </w:r>
      <w:r w:rsidR="00E03276" w:rsidRPr="00142504">
        <w:rPr>
          <w:b/>
          <w:sz w:val="32"/>
          <w:szCs w:val="32"/>
        </w:rPr>
        <w:t>Material change of use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4E6BB2" w:rsidRPr="00644DFE" w:rsidTr="00E63E30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4E6BB2" w:rsidRPr="00142504" w:rsidRDefault="004E6BB2" w:rsidP="00070A49">
            <w:pPr>
              <w:pStyle w:val="TableHeadingLeft-White"/>
              <w:rPr>
                <w:sz w:val="24"/>
                <w:szCs w:val="24"/>
              </w:rPr>
            </w:pPr>
            <w:r w:rsidRPr="00142504">
              <w:rPr>
                <w:sz w:val="24"/>
                <w:szCs w:val="24"/>
              </w:rPr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4E6BB2" w:rsidRPr="00142504" w:rsidRDefault="004E6BB2" w:rsidP="00070A49">
            <w:pPr>
              <w:pStyle w:val="TableHeadingLeft-White"/>
              <w:rPr>
                <w:sz w:val="24"/>
                <w:szCs w:val="24"/>
              </w:rPr>
            </w:pPr>
            <w:r w:rsidRPr="00142504">
              <w:rPr>
                <w:sz w:val="24"/>
                <w:szCs w:val="24"/>
              </w:rPr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000000" w:themeFill="text1"/>
          </w:tcPr>
          <w:p w:rsidR="004E6BB2" w:rsidRPr="00142504" w:rsidRDefault="004E6BB2" w:rsidP="00070A49">
            <w:pPr>
              <w:pStyle w:val="TableHeadingLeft-White"/>
              <w:rPr>
                <w:sz w:val="24"/>
                <w:szCs w:val="24"/>
              </w:rPr>
            </w:pPr>
            <w:r w:rsidRPr="00142504">
              <w:rPr>
                <w:sz w:val="24"/>
                <w:szCs w:val="24"/>
              </w:rPr>
              <w:t>Response</w:t>
            </w:r>
          </w:p>
        </w:tc>
      </w:tr>
      <w:tr w:rsidR="007370D3" w:rsidRPr="00644DFE" w:rsidTr="00E63E30"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7370D3" w:rsidRPr="00070A49" w:rsidRDefault="00E03276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Aviation safety, integrity and efficiency</w:t>
            </w:r>
          </w:p>
        </w:tc>
      </w:tr>
      <w:tr w:rsidR="004E6BB2" w:rsidRPr="00644DFE" w:rsidTr="004E6BB2">
        <w:tc>
          <w:tcPr>
            <w:tcW w:w="1650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spacing w:before="0" w:after="0"/>
              <w:rPr>
                <w:rFonts w:eastAsia="MS Mincho"/>
                <w:sz w:val="20"/>
                <w:szCs w:val="20"/>
                <w:lang w:eastAsia="en-US"/>
              </w:rPr>
            </w:pPr>
            <w:r w:rsidRPr="00F74E9B">
              <w:rPr>
                <w:rFonts w:eastAsia="MS Mincho"/>
                <w:b/>
                <w:sz w:val="20"/>
                <w:szCs w:val="20"/>
                <w:lang w:eastAsia="en-US"/>
              </w:rPr>
              <w:t>PO1</w:t>
            </w:r>
            <w:r w:rsidRPr="00070A49">
              <w:rPr>
                <w:rFonts w:eastAsia="MS Mincho"/>
                <w:sz w:val="20"/>
                <w:szCs w:val="20"/>
                <w:lang w:eastAsia="en-US"/>
              </w:rPr>
              <w:t xml:space="preserve"> The safety, operational integrity and efficiency of air services and aircraft operations are not adversely affected by the location, siting, design and operation of the development.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AO1.1</w:t>
            </w:r>
            <w:r w:rsidRPr="00070A49">
              <w:rPr>
                <w:sz w:val="20"/>
                <w:szCs w:val="20"/>
              </w:rPr>
              <w:t xml:space="preserve"> Wind turbines or wind monitoring towers are 150 metres or less in height and do not infringe on the obstacle limitation surfaces (OLS), procedures for air navigation services – aircraft operations (PANS-OPS) surface, restricted airspace and low flying areas of a certified aerodrome, registered aerodrome or military aerodrome.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OR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  <w:r w:rsidRPr="00070A49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4E6BB2" w:rsidRPr="00070A49" w:rsidRDefault="004E6BB2" w:rsidP="00070A49">
            <w:pPr>
              <w:spacing w:before="0" w:after="0"/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070A49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AO1.2</w:t>
            </w:r>
            <w:r w:rsidRPr="00070A49">
              <w:rPr>
                <w:sz w:val="20"/>
                <w:szCs w:val="20"/>
              </w:rPr>
              <w:t xml:space="preserve"> For development involving wind turbines or wind monitoring towers more than 150 metres in height: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5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 xml:space="preserve">written endorsement by the Civil Aviation Safety Authority (CASA), </w:t>
            </w:r>
            <w:proofErr w:type="spellStart"/>
            <w:r w:rsidRPr="00070A49">
              <w:rPr>
                <w:sz w:val="20"/>
                <w:szCs w:val="20"/>
              </w:rPr>
              <w:t>Airservices</w:t>
            </w:r>
            <w:proofErr w:type="spellEnd"/>
            <w:r w:rsidRPr="00070A49">
              <w:rPr>
                <w:sz w:val="20"/>
                <w:szCs w:val="20"/>
              </w:rPr>
              <w:t xml:space="preserve"> Australia and the district aerodrome supervisor is provided stating they have no objection to the proposed development; or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5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 xml:space="preserve">where within 30 kilometres of a military aerodrome, or a certified aerodrome or registered aerodrome jointly used as a military aerodrome, written endorsement by the federal Department of Defence, Civil Aviation Safety Authority (CASA), </w:t>
            </w:r>
            <w:proofErr w:type="spellStart"/>
            <w:r w:rsidRPr="00070A49">
              <w:rPr>
                <w:sz w:val="20"/>
                <w:szCs w:val="20"/>
              </w:rPr>
              <w:t>Airservices</w:t>
            </w:r>
            <w:proofErr w:type="spellEnd"/>
            <w:r w:rsidRPr="00070A49">
              <w:rPr>
                <w:sz w:val="20"/>
                <w:szCs w:val="20"/>
              </w:rPr>
              <w:t xml:space="preserve"> Australia and the district aerodrome supervisor is provided stating they have no objection to the proposed development.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PO2 Development includes lighting and marking measures to ensure the safety, operational integrity and efficiency of air services and aircraft operations.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AO2.1</w:t>
            </w:r>
            <w:r w:rsidRPr="00070A49">
              <w:rPr>
                <w:sz w:val="20"/>
                <w:szCs w:val="20"/>
              </w:rPr>
              <w:t xml:space="preserve"> Marking of wind turbines is provided so that rotor blades, the nacelle and the upper two thirds of the supporting </w:t>
            </w:r>
            <w:proofErr w:type="spellStart"/>
            <w:r w:rsidRPr="00070A49">
              <w:rPr>
                <w:sz w:val="20"/>
                <w:szCs w:val="20"/>
              </w:rPr>
              <w:t>mast</w:t>
            </w:r>
            <w:proofErr w:type="spellEnd"/>
            <w:r w:rsidRPr="00070A49">
              <w:rPr>
                <w:sz w:val="20"/>
                <w:szCs w:val="20"/>
              </w:rPr>
              <w:t xml:space="preserve"> of the wind turbines are painted white.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AO2.2</w:t>
            </w:r>
            <w:r w:rsidRPr="00070A49">
              <w:rPr>
                <w:sz w:val="20"/>
                <w:szCs w:val="20"/>
              </w:rPr>
              <w:t xml:space="preserve"> The top one third of wind monitoring towers is painted in alternating bands of contrasting colour.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AO2.3</w:t>
            </w:r>
            <w:r w:rsidRPr="00070A49">
              <w:rPr>
                <w:sz w:val="20"/>
                <w:szCs w:val="20"/>
              </w:rPr>
              <w:t xml:space="preserve"> For development involving the lighting of wind turbines or wind monitoring towers more than 150 metres in height or within 30 kilometres of a certified aerodrome or registered aerodrome, written endorsement by the Civil Aviation Safety Authority (CASA) and </w:t>
            </w:r>
            <w:proofErr w:type="spellStart"/>
            <w:r w:rsidRPr="00070A49">
              <w:rPr>
                <w:sz w:val="20"/>
                <w:szCs w:val="20"/>
              </w:rPr>
              <w:t>Airservices</w:t>
            </w:r>
            <w:proofErr w:type="spellEnd"/>
            <w:r w:rsidRPr="00070A49">
              <w:rPr>
                <w:sz w:val="20"/>
                <w:szCs w:val="20"/>
              </w:rPr>
              <w:t xml:space="preserve"> Australia is provided stating they have no objection to the proposed development and lighting measures. 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AO2.4</w:t>
            </w:r>
            <w:r w:rsidRPr="00070A49">
              <w:rPr>
                <w:sz w:val="20"/>
                <w:szCs w:val="20"/>
              </w:rPr>
              <w:t xml:space="preserve"> In areas where low flying aircraft occur: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marker balls or high visibility sleeves are placed on the outside guy wires of wind monitoring towers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the guy wire ground attachment points have contrasting colours to the surrounding ground/vegetation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4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 flashing strobe light is installed to operate on wind monitoring towers during daylight hours.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AO2.5</w:t>
            </w:r>
            <w:r w:rsidRPr="00070A49">
              <w:rPr>
                <w:sz w:val="20"/>
                <w:szCs w:val="20"/>
              </w:rPr>
              <w:t xml:space="preserve"> Where LED obstruction lighting is proposed, the frequency range of the LED light emitted falls within the range of wavelengths 655 to 930 nanometres.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Electromagnetic interference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PO3</w:t>
            </w:r>
            <w:r w:rsidRPr="00070A49">
              <w:rPr>
                <w:sz w:val="20"/>
                <w:szCs w:val="20"/>
              </w:rPr>
              <w:t xml:space="preserve"> Development is designed, located and sited to avoid, or minimise and mitigate, electromagnetic interference to pre-existing television, radar and radio transmission and reception.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Shadow flicker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 xml:space="preserve">PO4 </w:t>
            </w:r>
            <w:r w:rsidRPr="00070A49">
              <w:rPr>
                <w:sz w:val="20"/>
                <w:szCs w:val="20"/>
              </w:rPr>
              <w:t>Development avoids or minimises shadow flicker impacts on existing or approved sensitive land uses.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AO4.1</w:t>
            </w:r>
            <w:r w:rsidRPr="00070A49">
              <w:rPr>
                <w:sz w:val="20"/>
                <w:szCs w:val="20"/>
              </w:rPr>
              <w:t xml:space="preserve"> The modelled blade shadow flicker impact on any existing or approved sensitive land use(s) does not exceed 30 hours per annum and 30 minutes per day.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AND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AO4.2</w:t>
            </w:r>
            <w:r w:rsidRPr="00070A49">
              <w:rPr>
                <w:sz w:val="20"/>
                <w:szCs w:val="20"/>
              </w:rPr>
              <w:t xml:space="preserve"> Wind turbine blades have a low reflectivity finish/treatment.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Flora and fauna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PO5</w:t>
            </w:r>
            <w:r w:rsidRPr="00070A49">
              <w:rPr>
                <w:sz w:val="20"/>
                <w:szCs w:val="20"/>
              </w:rPr>
              <w:t xml:space="preserve"> Development ensures that impacts on flora, fauna and associated ecological processes are avoided, or minimised and mitigated, through effective siting, design and operation of the development.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Traffic and access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PO6</w:t>
            </w:r>
            <w:r w:rsidRPr="00070A49">
              <w:rPr>
                <w:sz w:val="20"/>
                <w:szCs w:val="20"/>
              </w:rPr>
              <w:t xml:space="preserve"> Development provides suitable vehicular access, manoeuvring areas and parking for the ongoing operation and maintenance activities associated with the wind farm.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Stormwater management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PO7</w:t>
            </w:r>
            <w:r w:rsidRPr="00070A49">
              <w:rPr>
                <w:sz w:val="20"/>
                <w:szCs w:val="20"/>
              </w:rPr>
              <w:t xml:space="preserve"> Development avoids, or minimises and mitigates, adverse impacts on water quality objectives to achieve no worsening to receiving waters during the operation of the wind farm.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Watercourses and drainage features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 xml:space="preserve">PO8 </w:t>
            </w:r>
            <w:r w:rsidRPr="00070A49">
              <w:rPr>
                <w:sz w:val="20"/>
                <w:szCs w:val="20"/>
              </w:rPr>
              <w:t xml:space="preserve">Development avoids or minimises the clearing of vegetation within any watercourse or drainage feature to protect: 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bank stability by protecting against bank erosion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water quality objectives by filtering sediments, nutrients and other pollutants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aquatic habitat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terrestrial habitat.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Character, scenic amenity and landscape values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PO9</w:t>
            </w:r>
            <w:r w:rsidRPr="00070A49">
              <w:rPr>
                <w:sz w:val="20"/>
                <w:szCs w:val="20"/>
              </w:rPr>
              <w:t xml:space="preserve"> Development avoids, or minimises and mitigates, adverse impacts on the character, scenic amenity and landscape values of the locality and region through effective siting and design.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Separation distances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vMerge w:val="restar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 xml:space="preserve">PO10 </w:t>
            </w:r>
            <w:r w:rsidRPr="00070A49">
              <w:rPr>
                <w:sz w:val="20"/>
                <w:szCs w:val="20"/>
              </w:rPr>
              <w:t>Wind turbines are adequately separated from existing or approved sensitive land uses on non-host lots.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AO10.1</w:t>
            </w:r>
            <w:r w:rsidRPr="00070A49">
              <w:rPr>
                <w:sz w:val="20"/>
                <w:szCs w:val="20"/>
              </w:rPr>
              <w:t xml:space="preserve"> Wind turbines are setback at least 1</w:t>
            </w:r>
            <w:r w:rsidR="00E906F6" w:rsidRPr="00070A49">
              <w:rPr>
                <w:sz w:val="20"/>
                <w:szCs w:val="20"/>
              </w:rPr>
              <w:t xml:space="preserve"> </w:t>
            </w:r>
            <w:r w:rsidRPr="00070A49">
              <w:rPr>
                <w:sz w:val="20"/>
                <w:szCs w:val="20"/>
              </w:rPr>
              <w:t xml:space="preserve">500 metres from existing or approved sensitive land uses on non-host lots. </w:t>
            </w:r>
          </w:p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lastRenderedPageBreak/>
              <w:t>OR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AO10.2</w:t>
            </w:r>
            <w:r w:rsidRPr="00070A49">
              <w:rPr>
                <w:sz w:val="20"/>
                <w:szCs w:val="20"/>
              </w:rPr>
              <w:t xml:space="preserve"> Where wind turbines are proposed within 1500 metres of existing or approved sensitive land uses on non-host lots, written agreements (deeds of release) from all affected non-host lot owners are provided accepting the reduced setback.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Acoustic amenity – host lots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PO11</w:t>
            </w:r>
            <w:r w:rsidRPr="00070A49">
              <w:rPr>
                <w:sz w:val="20"/>
                <w:szCs w:val="20"/>
              </w:rPr>
              <w:t xml:space="preserve"> The predicted acoustic level at all noise affected existing or approved sensitive land uses does not exceed the criteria stated in table 23.3.1.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F74E9B">
        <w:trPr>
          <w:trHeight w:val="356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Acoustic amenity – non-host lots</w:t>
            </w: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PO12</w:t>
            </w:r>
            <w:r w:rsidRPr="00070A49">
              <w:rPr>
                <w:sz w:val="20"/>
                <w:szCs w:val="20"/>
              </w:rPr>
              <w:t xml:space="preserve"> The predicted acoustic level at all noise affected existing or approved sensitive land uses: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does not exceed the criteria stated in table 23.3.2; or</w:t>
            </w:r>
          </w:p>
          <w:p w:rsidR="004E6BB2" w:rsidRPr="00070A49" w:rsidRDefault="004E6BB2" w:rsidP="00070A49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where the acoustic levels stated in table 23.3.2 cannot be achieved at noise affected existing or approved sensitive land uses:</w:t>
            </w:r>
          </w:p>
          <w:p w:rsidR="004E6BB2" w:rsidRPr="00070A49" w:rsidRDefault="004E6BB2" w:rsidP="00070A49">
            <w:pPr>
              <w:pStyle w:val="TabletextAOs"/>
              <w:numPr>
                <w:ilvl w:val="1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individual written agreements (deeds of release) from non-host lot owners are provided</w:t>
            </w:r>
          </w:p>
          <w:p w:rsidR="004E6BB2" w:rsidRPr="00070A49" w:rsidRDefault="004E6BB2" w:rsidP="00070A49">
            <w:pPr>
              <w:pStyle w:val="TabletextAOs"/>
              <w:numPr>
                <w:ilvl w:val="1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the predicted acoustic level at all noise affected existing or approved sensitive land uses does not exceed the criteria stated in table 23.3.1.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  <w:tr w:rsidR="004E6BB2" w:rsidRPr="00644DFE" w:rsidTr="00E63E30">
        <w:trPr>
          <w:trHeight w:val="20"/>
        </w:trPr>
        <w:tc>
          <w:tcPr>
            <w:tcW w:w="1650" w:type="pct"/>
            <w:gridSpan w:val="3"/>
            <w:tcBorders>
              <w:left w:val="single" w:sz="4" w:space="0" w:color="333333"/>
              <w:right w:val="single" w:sz="4" w:space="0" w:color="333333"/>
            </w:tcBorders>
            <w:shd w:val="clear" w:color="auto" w:fill="F2F2F2" w:themeFill="background1" w:themeFillShade="F2"/>
          </w:tcPr>
          <w:p w:rsidR="004E6BB2" w:rsidRPr="00070A49" w:rsidRDefault="004E6BB2" w:rsidP="00070A49">
            <w:pPr>
              <w:pStyle w:val="TableHeadingLeft-Grey"/>
              <w:rPr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Construction management</w:t>
            </w:r>
          </w:p>
        </w:tc>
      </w:tr>
      <w:tr w:rsidR="004E6BB2" w:rsidRPr="00644DFE" w:rsidTr="004E6BB2">
        <w:trPr>
          <w:trHeight w:val="20"/>
        </w:trPr>
        <w:tc>
          <w:tcPr>
            <w:tcW w:w="1650" w:type="pct"/>
            <w:tcBorders>
              <w:left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sz w:val="20"/>
                <w:szCs w:val="20"/>
              </w:rPr>
            </w:pPr>
            <w:r w:rsidRPr="00F74E9B">
              <w:rPr>
                <w:b/>
                <w:sz w:val="20"/>
                <w:szCs w:val="20"/>
              </w:rPr>
              <w:t>PO13</w:t>
            </w:r>
            <w:r w:rsidRPr="00070A49">
              <w:rPr>
                <w:sz w:val="20"/>
                <w:szCs w:val="20"/>
              </w:rPr>
              <w:t xml:space="preserve"> Construction activities associated with the development avoid, or minimise and mitigate, adverse impacts on environmental values, water quality objectives, amenity, local transport networks and road infrastructure.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070A49" w:rsidRDefault="004E6BB2" w:rsidP="00070A49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070A49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E6BB2" w:rsidRPr="00D869A8" w:rsidRDefault="004E6BB2" w:rsidP="00070A49">
            <w:pPr>
              <w:pStyle w:val="TabletextAOs"/>
            </w:pPr>
          </w:p>
        </w:tc>
      </w:tr>
    </w:tbl>
    <w:p w:rsidR="0001091E" w:rsidRPr="00644DFE" w:rsidRDefault="00E03276" w:rsidP="00070A49">
      <w:r>
        <w:tab/>
      </w:r>
    </w:p>
    <w:p w:rsidR="00F74E9B" w:rsidRDefault="00F74E9B" w:rsidP="00070A49"/>
    <w:p w:rsidR="00F74E9B" w:rsidRPr="00F74E9B" w:rsidRDefault="00F74E9B" w:rsidP="00F74E9B"/>
    <w:p w:rsidR="00E213F3" w:rsidRPr="00F74E9B" w:rsidRDefault="00E213F3" w:rsidP="00F74E9B">
      <w:pPr>
        <w:jc w:val="center"/>
      </w:pPr>
    </w:p>
    <w:sectPr w:rsidR="00E213F3" w:rsidRPr="00F74E9B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1B" w:rsidRDefault="0031641B" w:rsidP="00070A49">
      <w:r>
        <w:separator/>
      </w:r>
    </w:p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/>
    <w:p w:rsidR="0031641B" w:rsidRDefault="0031641B" w:rsidP="00142504"/>
  </w:endnote>
  <w:endnote w:type="continuationSeparator" w:id="0">
    <w:p w:rsidR="0031641B" w:rsidRDefault="0031641B" w:rsidP="00070A49">
      <w:r>
        <w:continuationSeparator/>
      </w:r>
    </w:p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/>
    <w:p w:rsidR="0031641B" w:rsidRDefault="0031641B" w:rsidP="00142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070A4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070A49">
    <w:pPr>
      <w:pStyle w:val="Footer"/>
    </w:pPr>
  </w:p>
  <w:p w:rsidR="0001091E" w:rsidRDefault="0001091E" w:rsidP="00070A49"/>
  <w:p w:rsidR="00C25F18" w:rsidRDefault="00C25F18" w:rsidP="00070A49"/>
  <w:p w:rsidR="003E6A20" w:rsidRDefault="003E6A20" w:rsidP="00070A49"/>
  <w:p w:rsidR="00B436C0" w:rsidRDefault="00B436C0"/>
  <w:p w:rsidR="00B436C0" w:rsidRDefault="00B436C0" w:rsidP="00142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142504" w:rsidRDefault="0001091E" w:rsidP="00070A49">
    <w:pPr>
      <w:pStyle w:val="Footer"/>
      <w:rPr>
        <w:b/>
      </w:rPr>
    </w:pPr>
    <w:r w:rsidRPr="00142504">
      <w:rPr>
        <w:b/>
      </w:rPr>
      <w:t xml:space="preserve">State </w:t>
    </w:r>
    <w:r w:rsidR="00201EAF" w:rsidRPr="00142504">
      <w:rPr>
        <w:b/>
      </w:rPr>
      <w:t xml:space="preserve">Development Assessment Provisions – </w:t>
    </w:r>
    <w:r w:rsidR="002C6CD6">
      <w:rPr>
        <w:b/>
      </w:rPr>
      <w:t>version 2.</w:t>
    </w:r>
    <w:r w:rsidR="000E74A9">
      <w:rPr>
        <w:b/>
      </w:rPr>
      <w:t>6</w:t>
    </w:r>
    <w:r w:rsidRPr="00142504">
      <w:rPr>
        <w:b/>
      </w:rPr>
      <w:tab/>
    </w:r>
    <w:r w:rsidR="001F10C6" w:rsidRPr="00142504">
      <w:rPr>
        <w:b/>
      </w:rPr>
      <w:tab/>
    </w:r>
  </w:p>
  <w:p w:rsidR="003E6A20" w:rsidRDefault="00B30A84" w:rsidP="00F74E9B">
    <w:pPr>
      <w:pStyle w:val="Footer"/>
    </w:pPr>
    <w:r w:rsidRPr="00142504">
      <w:rPr>
        <w:b/>
      </w:rPr>
      <w:t>State code 23</w:t>
    </w:r>
    <w:r w:rsidR="0054092F" w:rsidRPr="00142504">
      <w:rPr>
        <w:b/>
      </w:rPr>
      <w:t xml:space="preserve">: </w:t>
    </w:r>
    <w:r w:rsidRPr="00142504">
      <w:rPr>
        <w:b/>
      </w:rPr>
      <w:t>Wind farm development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142504">
      <w:rPr>
        <w:noProof/>
      </w:rPr>
      <w:t>4</w:t>
    </w:r>
    <w:r w:rsidR="0001091E" w:rsidRPr="00682EC4">
      <w:fldChar w:fldCharType="end"/>
    </w:r>
    <w:r w:rsidR="0001091E" w:rsidRPr="00682EC4">
      <w:t xml:space="preserve"> of </w:t>
    </w:r>
    <w:fldSimple w:instr=" NUMPAGES ">
      <w:r w:rsidR="00142504">
        <w:rPr>
          <w:noProof/>
        </w:rPr>
        <w:t>4</w:t>
      </w:r>
    </w:fldSimple>
  </w:p>
  <w:p w:rsidR="00B436C0" w:rsidRDefault="00B436C0"/>
  <w:p w:rsidR="00B436C0" w:rsidRDefault="00B436C0" w:rsidP="001425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1B" w:rsidRDefault="0031641B" w:rsidP="00070A49">
      <w:r>
        <w:separator/>
      </w:r>
    </w:p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/>
    <w:p w:rsidR="0031641B" w:rsidRDefault="0031641B" w:rsidP="00142504"/>
  </w:footnote>
  <w:footnote w:type="continuationSeparator" w:id="0">
    <w:p w:rsidR="0031641B" w:rsidRDefault="0031641B" w:rsidP="00070A49">
      <w:r>
        <w:continuationSeparator/>
      </w:r>
    </w:p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 w:rsidP="00070A49"/>
    <w:p w:rsidR="0031641B" w:rsidRDefault="0031641B"/>
    <w:p w:rsidR="0031641B" w:rsidRDefault="0031641B" w:rsidP="00142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57861"/>
    <w:multiLevelType w:val="hybridMultilevel"/>
    <w:tmpl w:val="C690326A"/>
    <w:lvl w:ilvl="0" w:tplc="645CB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0E2518"/>
    <w:multiLevelType w:val="hybridMultilevel"/>
    <w:tmpl w:val="6F3E1476"/>
    <w:lvl w:ilvl="0" w:tplc="645CB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8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19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5A10324"/>
    <w:multiLevelType w:val="hybridMultilevel"/>
    <w:tmpl w:val="F0E62FFC"/>
    <w:lvl w:ilvl="0" w:tplc="645CB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DE80C8B"/>
    <w:multiLevelType w:val="hybridMultilevel"/>
    <w:tmpl w:val="4B1CC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FCE4C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3"/>
  </w:num>
  <w:num w:numId="5">
    <w:abstractNumId w:val="8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9"/>
  </w:num>
  <w:num w:numId="18">
    <w:abstractNumId w:val="18"/>
  </w:num>
  <w:num w:numId="19">
    <w:abstractNumId w:val="15"/>
  </w:num>
  <w:num w:numId="20">
    <w:abstractNumId w:val="10"/>
  </w:num>
  <w:num w:numId="21">
    <w:abstractNumId w:val="17"/>
  </w:num>
  <w:num w:numId="22">
    <w:abstractNumId w:val="24"/>
  </w:num>
  <w:num w:numId="23">
    <w:abstractNumId w:val="22"/>
  </w:num>
  <w:num w:numId="24">
    <w:abstractNumId w:val="11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8"/>
    <w:rsid w:val="000039F4"/>
    <w:rsid w:val="0000419E"/>
    <w:rsid w:val="0001091E"/>
    <w:rsid w:val="0002510C"/>
    <w:rsid w:val="00070A49"/>
    <w:rsid w:val="000C0828"/>
    <w:rsid w:val="000C34E3"/>
    <w:rsid w:val="000C4653"/>
    <w:rsid w:val="000C567C"/>
    <w:rsid w:val="000D283D"/>
    <w:rsid w:val="000D69C9"/>
    <w:rsid w:val="000E31BF"/>
    <w:rsid w:val="000E36BA"/>
    <w:rsid w:val="000E7490"/>
    <w:rsid w:val="000E74A9"/>
    <w:rsid w:val="000F271D"/>
    <w:rsid w:val="00111ADA"/>
    <w:rsid w:val="00122E7D"/>
    <w:rsid w:val="00142504"/>
    <w:rsid w:val="00146652"/>
    <w:rsid w:val="001525C3"/>
    <w:rsid w:val="00156577"/>
    <w:rsid w:val="001663DF"/>
    <w:rsid w:val="00167D31"/>
    <w:rsid w:val="001804D5"/>
    <w:rsid w:val="0019352F"/>
    <w:rsid w:val="00193C5D"/>
    <w:rsid w:val="00193E7B"/>
    <w:rsid w:val="001C70C0"/>
    <w:rsid w:val="001D4094"/>
    <w:rsid w:val="001F10C6"/>
    <w:rsid w:val="00201EAF"/>
    <w:rsid w:val="00202E9F"/>
    <w:rsid w:val="0021512A"/>
    <w:rsid w:val="0022477A"/>
    <w:rsid w:val="00246DB9"/>
    <w:rsid w:val="00247232"/>
    <w:rsid w:val="0026103D"/>
    <w:rsid w:val="00281EE9"/>
    <w:rsid w:val="00286808"/>
    <w:rsid w:val="00287FF3"/>
    <w:rsid w:val="00290331"/>
    <w:rsid w:val="002B25E3"/>
    <w:rsid w:val="002C6CD6"/>
    <w:rsid w:val="002F71B3"/>
    <w:rsid w:val="00313C1B"/>
    <w:rsid w:val="0031641B"/>
    <w:rsid w:val="003549FE"/>
    <w:rsid w:val="00356165"/>
    <w:rsid w:val="0036650E"/>
    <w:rsid w:val="00376B28"/>
    <w:rsid w:val="003A138A"/>
    <w:rsid w:val="003A5D0E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C5C0A"/>
    <w:rsid w:val="004E6BB2"/>
    <w:rsid w:val="004F2AE0"/>
    <w:rsid w:val="004F3FBF"/>
    <w:rsid w:val="00505041"/>
    <w:rsid w:val="00540584"/>
    <w:rsid w:val="0054092F"/>
    <w:rsid w:val="00552CFA"/>
    <w:rsid w:val="00583247"/>
    <w:rsid w:val="00587F63"/>
    <w:rsid w:val="005A246A"/>
    <w:rsid w:val="005A6D1D"/>
    <w:rsid w:val="005A7550"/>
    <w:rsid w:val="006038CE"/>
    <w:rsid w:val="00644DFE"/>
    <w:rsid w:val="00657FAD"/>
    <w:rsid w:val="00663D7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44211"/>
    <w:rsid w:val="00852389"/>
    <w:rsid w:val="00857309"/>
    <w:rsid w:val="008A7165"/>
    <w:rsid w:val="008E5B07"/>
    <w:rsid w:val="0092741D"/>
    <w:rsid w:val="0095228F"/>
    <w:rsid w:val="00971B51"/>
    <w:rsid w:val="00974393"/>
    <w:rsid w:val="00983C58"/>
    <w:rsid w:val="00991521"/>
    <w:rsid w:val="00996E28"/>
    <w:rsid w:val="00A110DE"/>
    <w:rsid w:val="00A63846"/>
    <w:rsid w:val="00A80ACF"/>
    <w:rsid w:val="00AC4254"/>
    <w:rsid w:val="00AD4BF6"/>
    <w:rsid w:val="00B03B88"/>
    <w:rsid w:val="00B1102D"/>
    <w:rsid w:val="00B20D9C"/>
    <w:rsid w:val="00B30A84"/>
    <w:rsid w:val="00B436C0"/>
    <w:rsid w:val="00B60C1E"/>
    <w:rsid w:val="00B80823"/>
    <w:rsid w:val="00B840A1"/>
    <w:rsid w:val="00B90D04"/>
    <w:rsid w:val="00BB5E39"/>
    <w:rsid w:val="00BB715B"/>
    <w:rsid w:val="00BC3A56"/>
    <w:rsid w:val="00BC3DDA"/>
    <w:rsid w:val="00BD6ADC"/>
    <w:rsid w:val="00BE06E4"/>
    <w:rsid w:val="00C04F5B"/>
    <w:rsid w:val="00C232D3"/>
    <w:rsid w:val="00C25F18"/>
    <w:rsid w:val="00C316A2"/>
    <w:rsid w:val="00C7106C"/>
    <w:rsid w:val="00C858BB"/>
    <w:rsid w:val="00CC1B57"/>
    <w:rsid w:val="00CC2D67"/>
    <w:rsid w:val="00CD02B1"/>
    <w:rsid w:val="00CE0F3F"/>
    <w:rsid w:val="00D275DC"/>
    <w:rsid w:val="00D36D7A"/>
    <w:rsid w:val="00D5760E"/>
    <w:rsid w:val="00D62A22"/>
    <w:rsid w:val="00D869A8"/>
    <w:rsid w:val="00D971A8"/>
    <w:rsid w:val="00DA51B6"/>
    <w:rsid w:val="00DB02F1"/>
    <w:rsid w:val="00DD61E1"/>
    <w:rsid w:val="00DF08BB"/>
    <w:rsid w:val="00DF619C"/>
    <w:rsid w:val="00E03276"/>
    <w:rsid w:val="00E213F3"/>
    <w:rsid w:val="00E30C1E"/>
    <w:rsid w:val="00E313C0"/>
    <w:rsid w:val="00E4538F"/>
    <w:rsid w:val="00E63E30"/>
    <w:rsid w:val="00E70D80"/>
    <w:rsid w:val="00E8705B"/>
    <w:rsid w:val="00E906F6"/>
    <w:rsid w:val="00EF30A3"/>
    <w:rsid w:val="00EF6939"/>
    <w:rsid w:val="00F02D31"/>
    <w:rsid w:val="00F419CE"/>
    <w:rsid w:val="00F532CE"/>
    <w:rsid w:val="00F74E9B"/>
    <w:rsid w:val="00F83BE6"/>
    <w:rsid w:val="00FA001D"/>
    <w:rsid w:val="00FA7614"/>
    <w:rsid w:val="00FD0D29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46C67E-8DB4-434F-9AD6-08CDDAF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070A49"/>
    <w:pPr>
      <w:spacing w:before="60" w:after="60"/>
    </w:pPr>
    <w:rPr>
      <w:rFonts w:ascii="Arial" w:hAnsi="Arial"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0A18-41C6-4499-BEE7-CD05A3B3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23: Wind farm development - response template</vt:lpstr>
    </vt:vector>
  </TitlesOfParts>
  <Company>Queensland Government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23: Wind farm development - response template</dc:title>
  <dc:subject>Module 1.1 - Managing noise and vibration impacts from transport corridors state code</dc:subject>
  <dc:creator>Queensland Government</dc:creator>
  <cp:lastModifiedBy>Sarah Shumack</cp:lastModifiedBy>
  <cp:revision>3</cp:revision>
  <cp:lastPrinted>2013-06-14T00:06:00Z</cp:lastPrinted>
  <dcterms:created xsi:type="dcterms:W3CDTF">2019-10-10T23:49:00Z</dcterms:created>
  <dcterms:modified xsi:type="dcterms:W3CDTF">2020-01-22T22:58:00Z</dcterms:modified>
</cp:coreProperties>
</file>