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0A3" w:rsidRPr="00682EC4" w:rsidRDefault="00170E9F" w:rsidP="0054092F">
      <w:pPr>
        <w:pStyle w:val="Heading2"/>
        <w:numPr>
          <w:ilvl w:val="0"/>
          <w:numId w:val="0"/>
        </w:numPr>
        <w:spacing w:before="60"/>
        <w:rPr>
          <w:color w:val="auto"/>
          <w:sz w:val="48"/>
          <w:szCs w:val="48"/>
        </w:rPr>
      </w:pPr>
      <w:bookmarkStart w:id="0" w:name="_GoBack"/>
      <w:bookmarkEnd w:id="0"/>
      <w:r>
        <w:rPr>
          <w:color w:val="auto"/>
          <w:sz w:val="48"/>
          <w:szCs w:val="48"/>
        </w:rPr>
        <w:t>State code 21</w:t>
      </w:r>
      <w:r w:rsidR="0054092F" w:rsidRPr="00682EC4">
        <w:rPr>
          <w:color w:val="auto"/>
          <w:sz w:val="48"/>
          <w:szCs w:val="48"/>
        </w:rPr>
        <w:t xml:space="preserve">: </w:t>
      </w:r>
      <w:r>
        <w:rPr>
          <w:color w:val="auto"/>
          <w:sz w:val="48"/>
          <w:szCs w:val="48"/>
        </w:rPr>
        <w:t>Hazardous chemical facilities</w:t>
      </w:r>
    </w:p>
    <w:p w:rsidR="00D869A8" w:rsidRPr="00644DFE" w:rsidRDefault="00D869A8" w:rsidP="00EC228C"/>
    <w:p w:rsidR="0082382C" w:rsidRPr="00EC228C" w:rsidRDefault="0054092F" w:rsidP="00EC228C">
      <w:pPr>
        <w:rPr>
          <w:b/>
        </w:rPr>
      </w:pPr>
      <w:r w:rsidRPr="00EC228C">
        <w:rPr>
          <w:b/>
        </w:rPr>
        <w:t xml:space="preserve">Table </w:t>
      </w:r>
      <w:r w:rsidR="00170E9F" w:rsidRPr="00EC228C">
        <w:rPr>
          <w:b/>
        </w:rPr>
        <w:t>21.2.1</w:t>
      </w:r>
      <w:r w:rsidRPr="00EC228C">
        <w:rPr>
          <w:b/>
        </w:rPr>
        <w:t xml:space="preserve">: </w:t>
      </w:r>
      <w:r w:rsidR="00170E9F" w:rsidRPr="00EC228C">
        <w:rPr>
          <w:b/>
        </w:rPr>
        <w:t>Material change of use</w:t>
      </w:r>
      <w:r w:rsidRPr="00EC228C">
        <w:rPr>
          <w:b/>
        </w:rPr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8"/>
        <w:gridCol w:w="5009"/>
        <w:gridCol w:w="5009"/>
      </w:tblGrid>
      <w:tr w:rsidR="00D86346" w:rsidRPr="00EC228C" w:rsidTr="002A0B8F">
        <w:trPr>
          <w:trHeight w:val="20"/>
          <w:tblHeader/>
        </w:trPr>
        <w:tc>
          <w:tcPr>
            <w:tcW w:w="1650" w:type="pc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000000" w:themeFill="text1"/>
            <w:vAlign w:val="center"/>
          </w:tcPr>
          <w:p w:rsidR="00D86346" w:rsidRPr="00343691" w:rsidRDefault="00D86346" w:rsidP="00EC228C">
            <w:pPr>
              <w:pStyle w:val="TableHeadingLeft-White"/>
              <w:rPr>
                <w:sz w:val="24"/>
                <w:szCs w:val="24"/>
              </w:rPr>
            </w:pPr>
            <w:r w:rsidRPr="00343691">
              <w:rPr>
                <w:sz w:val="24"/>
                <w:szCs w:val="24"/>
              </w:rPr>
              <w:t>Performance outcomes</w:t>
            </w:r>
          </w:p>
        </w:tc>
        <w:tc>
          <w:tcPr>
            <w:tcW w:w="1650" w:type="pc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000000" w:themeFill="text1"/>
            <w:vAlign w:val="center"/>
          </w:tcPr>
          <w:p w:rsidR="00D86346" w:rsidRPr="00343691" w:rsidRDefault="00D86346" w:rsidP="00EC228C">
            <w:pPr>
              <w:pStyle w:val="TableHeadingLeft-White"/>
              <w:rPr>
                <w:sz w:val="24"/>
                <w:szCs w:val="24"/>
              </w:rPr>
            </w:pPr>
            <w:r w:rsidRPr="00343691">
              <w:rPr>
                <w:sz w:val="24"/>
                <w:szCs w:val="24"/>
              </w:rPr>
              <w:t>Acceptable outcomes</w:t>
            </w:r>
          </w:p>
        </w:tc>
        <w:tc>
          <w:tcPr>
            <w:tcW w:w="1650" w:type="pc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000000" w:themeFill="text1"/>
          </w:tcPr>
          <w:p w:rsidR="00D86346" w:rsidRPr="00343691" w:rsidRDefault="00D86346" w:rsidP="00EC228C">
            <w:pPr>
              <w:pStyle w:val="TableHeadingLeft-White"/>
              <w:rPr>
                <w:sz w:val="24"/>
                <w:szCs w:val="24"/>
              </w:rPr>
            </w:pPr>
            <w:r w:rsidRPr="00343691">
              <w:rPr>
                <w:sz w:val="24"/>
                <w:szCs w:val="24"/>
              </w:rPr>
              <w:t>Response</w:t>
            </w:r>
          </w:p>
        </w:tc>
      </w:tr>
      <w:tr w:rsidR="00D86346" w:rsidRPr="00EC228C" w:rsidTr="00D86346">
        <w:tc>
          <w:tcPr>
            <w:tcW w:w="1650" w:type="pct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:rsidR="00EC228C" w:rsidRDefault="00D86346" w:rsidP="00EC228C">
            <w:pPr>
              <w:pStyle w:val="TabletextAOs"/>
              <w:rPr>
                <w:sz w:val="20"/>
                <w:szCs w:val="20"/>
              </w:rPr>
            </w:pPr>
            <w:r w:rsidRPr="00EC228C">
              <w:rPr>
                <w:b/>
                <w:sz w:val="20"/>
                <w:szCs w:val="20"/>
              </w:rPr>
              <w:t>PO1</w:t>
            </w:r>
            <w:r w:rsidRPr="00EC228C">
              <w:rPr>
                <w:sz w:val="20"/>
                <w:szCs w:val="20"/>
              </w:rPr>
              <w:t xml:space="preserve"> Any risk created by a hazardous chemical facility (including increasing an existing risk) is proportionate to the sensitivity of the surrounding land uses or zones.</w:t>
            </w:r>
          </w:p>
          <w:p w:rsidR="00D86346" w:rsidRPr="00EC228C" w:rsidRDefault="00D86346" w:rsidP="00EC228C">
            <w:pPr>
              <w:rPr>
                <w:lang w:eastAsia="en-US"/>
              </w:rPr>
            </w:pP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343691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EC228C">
              <w:rPr>
                <w:b/>
                <w:sz w:val="20"/>
                <w:szCs w:val="20"/>
              </w:rPr>
              <w:t>AO1.1</w:t>
            </w:r>
            <w:r w:rsidRPr="00EC228C">
              <w:rPr>
                <w:sz w:val="20"/>
                <w:szCs w:val="20"/>
              </w:rPr>
              <w:t xml:space="preserve"> Any off-site impact from a hazard scenario shall not exceed, at the boundary of any vulnerable land use or zone:</w:t>
            </w:r>
          </w:p>
          <w:p w:rsidR="00D86346" w:rsidRPr="00EC228C" w:rsidRDefault="00D86346" w:rsidP="00343691">
            <w:pPr>
              <w:pStyle w:val="TabletextAOs"/>
              <w:numPr>
                <w:ilvl w:val="0"/>
                <w:numId w:val="31"/>
              </w:numPr>
              <w:spacing w:before="0" w:after="0"/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 dangerous dose to human health; or</w:t>
            </w:r>
          </w:p>
          <w:p w:rsidR="00D86346" w:rsidRPr="00EC228C" w:rsidRDefault="00D86346" w:rsidP="00343691">
            <w:pPr>
              <w:pStyle w:val="TabletextAOs"/>
              <w:numPr>
                <w:ilvl w:val="0"/>
                <w:numId w:val="31"/>
              </w:numPr>
              <w:spacing w:before="0" w:after="0"/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if the above criteria cannot be achieved:</w:t>
            </w:r>
          </w:p>
          <w:p w:rsidR="00D86346" w:rsidRPr="00EC228C" w:rsidRDefault="00D86346" w:rsidP="00343691">
            <w:pPr>
              <w:pStyle w:val="TabletextAOs"/>
              <w:numPr>
                <w:ilvl w:val="1"/>
                <w:numId w:val="31"/>
              </w:numPr>
              <w:spacing w:before="0" w:after="0"/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an individual fatality risk level of 0.5 x 10-6/year</w:t>
            </w:r>
          </w:p>
          <w:p w:rsidR="00D86346" w:rsidRPr="00EC228C" w:rsidRDefault="00D86346" w:rsidP="00343691">
            <w:pPr>
              <w:pStyle w:val="TabletextAOs"/>
              <w:numPr>
                <w:ilvl w:val="1"/>
                <w:numId w:val="31"/>
              </w:numPr>
              <w:spacing w:before="0" w:after="0"/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the societal risk criteria in figure 21.3.1.</w:t>
            </w:r>
          </w:p>
          <w:p w:rsidR="00D86346" w:rsidRPr="00EC228C" w:rsidRDefault="00D86346" w:rsidP="00343691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AND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rPr>
                <w:sz w:val="20"/>
                <w:szCs w:val="20"/>
                <w:highlight w:val="lightGray"/>
                <w:lang w:eastAsia="en-US"/>
              </w:rPr>
            </w:pPr>
            <w:r w:rsidRPr="00EC228C">
              <w:rPr>
                <w:sz w:val="20"/>
                <w:szCs w:val="20"/>
                <w:highlight w:val="lightGray"/>
                <w:lang w:eastAsia="en-US"/>
              </w:rPr>
              <w:t>Complies with PO# / AO#</w:t>
            </w:r>
          </w:p>
          <w:p w:rsidR="00D86346" w:rsidRPr="00EC228C" w:rsidRDefault="00D86346" w:rsidP="00EC228C">
            <w:pPr>
              <w:rPr>
                <w:b/>
                <w:sz w:val="20"/>
                <w:szCs w:val="20"/>
                <w:highlight w:val="lightGray"/>
                <w:lang w:eastAsia="en-US"/>
              </w:rPr>
            </w:pPr>
            <w:r w:rsidRPr="00EC228C">
              <w:rPr>
                <w:sz w:val="20"/>
                <w:szCs w:val="20"/>
                <w:highlight w:val="lightGray"/>
                <w:lang w:eastAsia="en-US"/>
              </w:rPr>
              <w:t>Use this column to indicate whether compliance is achieved with the relevant PO or AO (or if they do not apply), and explain why</w:t>
            </w:r>
          </w:p>
        </w:tc>
      </w:tr>
      <w:tr w:rsidR="00D86346" w:rsidRPr="00EC228C" w:rsidTr="00D86346">
        <w:trPr>
          <w:trHeight w:val="20"/>
        </w:trPr>
        <w:tc>
          <w:tcPr>
            <w:tcW w:w="1650" w:type="pct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343691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EC228C">
              <w:rPr>
                <w:b/>
                <w:sz w:val="20"/>
                <w:szCs w:val="20"/>
              </w:rPr>
              <w:t>AO1.2</w:t>
            </w:r>
            <w:r w:rsidRPr="00EC228C">
              <w:rPr>
                <w:sz w:val="20"/>
                <w:szCs w:val="20"/>
              </w:rPr>
              <w:t xml:space="preserve"> Any off-site impact from a hazard scenario shall not exceed, at the boundary of any sensitive land use or zone:</w:t>
            </w:r>
          </w:p>
          <w:p w:rsidR="00D86346" w:rsidRPr="00EC228C" w:rsidRDefault="00D86346" w:rsidP="00343691">
            <w:pPr>
              <w:pStyle w:val="TabletextAOs"/>
              <w:numPr>
                <w:ilvl w:val="0"/>
                <w:numId w:val="30"/>
              </w:numPr>
              <w:spacing w:before="0" w:after="0"/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 dangerous dose to human health; or</w:t>
            </w:r>
          </w:p>
          <w:p w:rsidR="00D86346" w:rsidRPr="00EC228C" w:rsidRDefault="00D86346" w:rsidP="00343691">
            <w:pPr>
              <w:pStyle w:val="TabletextAOs"/>
              <w:numPr>
                <w:ilvl w:val="0"/>
                <w:numId w:val="30"/>
              </w:numPr>
              <w:spacing w:before="0" w:after="0"/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if the above criteria cannot be achieved:</w:t>
            </w:r>
          </w:p>
          <w:p w:rsidR="00D86346" w:rsidRPr="00EC228C" w:rsidRDefault="00D86346" w:rsidP="00343691">
            <w:pPr>
              <w:pStyle w:val="TabletextAOs"/>
              <w:numPr>
                <w:ilvl w:val="1"/>
                <w:numId w:val="30"/>
              </w:numPr>
              <w:spacing w:before="0" w:after="0"/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an individual fatality risk level of 1 x 10-6/year</w:t>
            </w:r>
          </w:p>
          <w:p w:rsidR="00D86346" w:rsidRPr="00EC228C" w:rsidRDefault="00D86346" w:rsidP="00343691">
            <w:pPr>
              <w:pStyle w:val="TabletextAOs"/>
              <w:numPr>
                <w:ilvl w:val="1"/>
                <w:numId w:val="30"/>
              </w:numPr>
              <w:spacing w:before="0" w:after="0"/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the societal risk criteria in figure 21.3.1.</w:t>
            </w:r>
          </w:p>
          <w:p w:rsidR="00D86346" w:rsidRPr="00EC228C" w:rsidRDefault="00D86346" w:rsidP="00343691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AND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</w:p>
        </w:tc>
      </w:tr>
      <w:tr w:rsidR="00D86346" w:rsidRPr="00EC228C" w:rsidTr="00D86346">
        <w:trPr>
          <w:trHeight w:val="20"/>
        </w:trPr>
        <w:tc>
          <w:tcPr>
            <w:tcW w:w="1650" w:type="pct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343691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EC228C">
              <w:rPr>
                <w:b/>
                <w:sz w:val="20"/>
                <w:szCs w:val="20"/>
              </w:rPr>
              <w:t>AO1.3</w:t>
            </w:r>
            <w:r w:rsidRPr="00EC228C">
              <w:rPr>
                <w:sz w:val="20"/>
                <w:szCs w:val="20"/>
              </w:rPr>
              <w:t xml:space="preserve"> Any off-site impact from a hazard scenario shall not exceed, at the boundary of any commercial or community activity land use or zone:</w:t>
            </w:r>
          </w:p>
          <w:p w:rsidR="00D86346" w:rsidRPr="00EC228C" w:rsidRDefault="00D86346" w:rsidP="00343691">
            <w:pPr>
              <w:pStyle w:val="TabletextAOs"/>
              <w:numPr>
                <w:ilvl w:val="0"/>
                <w:numId w:val="29"/>
              </w:numPr>
              <w:spacing w:before="0" w:after="0"/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 dangerous dose to human health; or</w:t>
            </w:r>
          </w:p>
          <w:p w:rsidR="00D86346" w:rsidRPr="00EC228C" w:rsidRDefault="00D86346" w:rsidP="00343691">
            <w:pPr>
              <w:pStyle w:val="TabletextAOs"/>
              <w:numPr>
                <w:ilvl w:val="0"/>
                <w:numId w:val="29"/>
              </w:numPr>
              <w:spacing w:before="0" w:after="0"/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if the above criteria cannot be achieved:</w:t>
            </w:r>
          </w:p>
          <w:p w:rsidR="00D86346" w:rsidRPr="00EC228C" w:rsidRDefault="00D86346" w:rsidP="00343691">
            <w:pPr>
              <w:pStyle w:val="TabletextAOs"/>
              <w:numPr>
                <w:ilvl w:val="1"/>
                <w:numId w:val="29"/>
              </w:numPr>
              <w:spacing w:before="0" w:after="0"/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an individual fatality risk level of 5 x 10-6/year</w:t>
            </w:r>
          </w:p>
          <w:p w:rsidR="00D86346" w:rsidRPr="00EC228C" w:rsidRDefault="00D86346" w:rsidP="00343691">
            <w:pPr>
              <w:pStyle w:val="TabletextAOs"/>
              <w:numPr>
                <w:ilvl w:val="1"/>
                <w:numId w:val="29"/>
              </w:numPr>
              <w:spacing w:before="0" w:after="0"/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the societal risk criteria in figure 21.3.1.</w:t>
            </w:r>
          </w:p>
          <w:p w:rsidR="00D86346" w:rsidRPr="00EC228C" w:rsidRDefault="00D86346" w:rsidP="00343691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AND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</w:p>
        </w:tc>
      </w:tr>
      <w:tr w:rsidR="00D86346" w:rsidRPr="00EC228C" w:rsidTr="00D86346">
        <w:trPr>
          <w:trHeight w:val="20"/>
        </w:trPr>
        <w:tc>
          <w:tcPr>
            <w:tcW w:w="1650" w:type="pct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343691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EC228C">
              <w:rPr>
                <w:b/>
                <w:sz w:val="20"/>
                <w:szCs w:val="20"/>
              </w:rPr>
              <w:t>AO1.4</w:t>
            </w:r>
            <w:r w:rsidRPr="00EC228C">
              <w:rPr>
                <w:sz w:val="20"/>
                <w:szCs w:val="20"/>
              </w:rPr>
              <w:t xml:space="preserve"> Any off-site impact from a hazard scenario shall not exceed, at the boundary of any open space land use or zone:</w:t>
            </w:r>
          </w:p>
          <w:p w:rsidR="00D86346" w:rsidRPr="00EC228C" w:rsidRDefault="00D86346" w:rsidP="00343691">
            <w:pPr>
              <w:pStyle w:val="TabletextAOs"/>
              <w:numPr>
                <w:ilvl w:val="0"/>
                <w:numId w:val="28"/>
              </w:numPr>
              <w:spacing w:before="0" w:after="0"/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 dangerous dose to human health; or</w:t>
            </w:r>
          </w:p>
          <w:p w:rsidR="00D86346" w:rsidRPr="00EC228C" w:rsidRDefault="00D86346" w:rsidP="00343691">
            <w:pPr>
              <w:pStyle w:val="TabletextAOs"/>
              <w:numPr>
                <w:ilvl w:val="0"/>
                <w:numId w:val="28"/>
              </w:numPr>
              <w:spacing w:before="0" w:after="0"/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if the above criteria cannot be achieved:</w:t>
            </w:r>
          </w:p>
          <w:p w:rsidR="00D86346" w:rsidRPr="00EC228C" w:rsidRDefault="00D86346" w:rsidP="00343691">
            <w:pPr>
              <w:pStyle w:val="TabletextAOs"/>
              <w:numPr>
                <w:ilvl w:val="1"/>
                <w:numId w:val="28"/>
              </w:numPr>
              <w:spacing w:before="0" w:after="0"/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an individual fatality risk level of 10 x 10-6/year</w:t>
            </w:r>
          </w:p>
          <w:p w:rsidR="00D86346" w:rsidRPr="00EC228C" w:rsidRDefault="00D86346" w:rsidP="00343691">
            <w:pPr>
              <w:pStyle w:val="TabletextAOs"/>
              <w:numPr>
                <w:ilvl w:val="1"/>
                <w:numId w:val="28"/>
              </w:numPr>
              <w:spacing w:before="0" w:after="0"/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the societal risk criteria in figure 21.3.1.</w:t>
            </w:r>
          </w:p>
          <w:p w:rsidR="00D86346" w:rsidRPr="00EC228C" w:rsidRDefault="00D86346" w:rsidP="00343691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AND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</w:p>
        </w:tc>
      </w:tr>
      <w:tr w:rsidR="00D86346" w:rsidRPr="00EC228C" w:rsidTr="00D86346">
        <w:trPr>
          <w:trHeight w:val="20"/>
        </w:trPr>
        <w:tc>
          <w:tcPr>
            <w:tcW w:w="1650" w:type="pct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AO1.5 Any off-site impact from a hazard scenario shall not exceed, at the boundary of any industrial land use or zone:</w:t>
            </w:r>
          </w:p>
          <w:p w:rsidR="00D86346" w:rsidRPr="00EC228C" w:rsidRDefault="00D86346" w:rsidP="00EC228C">
            <w:pPr>
              <w:pStyle w:val="TabletextAOs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 dangerous dose to the built environment; or</w:t>
            </w:r>
          </w:p>
          <w:p w:rsidR="00D86346" w:rsidRPr="00EC228C" w:rsidRDefault="00D86346" w:rsidP="00EC228C">
            <w:pPr>
              <w:pStyle w:val="TabletextAOs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an individual fatality risk level of 50 x 10-6/year.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</w:p>
        </w:tc>
      </w:tr>
      <w:tr w:rsidR="00D86346" w:rsidRPr="00EC228C" w:rsidTr="00D86346">
        <w:trPr>
          <w:trHeight w:val="20"/>
        </w:trPr>
        <w:tc>
          <w:tcPr>
            <w:tcW w:w="1650" w:type="pct"/>
            <w:tcBorders>
              <w:left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  <w:r w:rsidRPr="00E177B8">
              <w:rPr>
                <w:b/>
                <w:sz w:val="20"/>
                <w:szCs w:val="20"/>
              </w:rPr>
              <w:t>PO2</w:t>
            </w:r>
            <w:r w:rsidRPr="00EC228C">
              <w:rPr>
                <w:sz w:val="20"/>
                <w:szCs w:val="20"/>
              </w:rPr>
              <w:t xml:space="preserve"> The location and siting of a hazardous chemical facility considers and responds to any off-site effects from a hazard scenario at any existing hazardous chemical facility in the vicinity.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No acceptable outcome is prescribed.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</w:p>
        </w:tc>
      </w:tr>
      <w:tr w:rsidR="00D86346" w:rsidRPr="00EC228C" w:rsidTr="00D86346">
        <w:trPr>
          <w:trHeight w:val="20"/>
        </w:trPr>
        <w:tc>
          <w:tcPr>
            <w:tcW w:w="1650" w:type="pct"/>
            <w:tcBorders>
              <w:left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  <w:r w:rsidRPr="00E177B8">
              <w:rPr>
                <w:b/>
                <w:sz w:val="20"/>
                <w:szCs w:val="20"/>
              </w:rPr>
              <w:t xml:space="preserve">PO3 </w:t>
            </w:r>
            <w:r w:rsidRPr="00EC228C">
              <w:rPr>
                <w:sz w:val="20"/>
                <w:szCs w:val="20"/>
              </w:rPr>
              <w:t>Storage and handling areas for fire risk hazardous chemicals are provided with control measures to identify a fire situation and trigger an emergency response.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  <w:r w:rsidRPr="00E177B8">
              <w:rPr>
                <w:b/>
                <w:sz w:val="20"/>
                <w:szCs w:val="20"/>
              </w:rPr>
              <w:t>AO3.1</w:t>
            </w:r>
            <w:r w:rsidRPr="00EC228C">
              <w:rPr>
                <w:sz w:val="20"/>
                <w:szCs w:val="20"/>
              </w:rPr>
              <w:t xml:space="preserve"> Storage and handling areas for fire risk hazardous chemicals are provided with a </w:t>
            </w:r>
            <w:proofErr w:type="gramStart"/>
            <w:r w:rsidRPr="00EC228C">
              <w:rPr>
                <w:sz w:val="20"/>
                <w:szCs w:val="20"/>
              </w:rPr>
              <w:t>24 hour</w:t>
            </w:r>
            <w:proofErr w:type="gramEnd"/>
            <w:r w:rsidRPr="00EC228C">
              <w:rPr>
                <w:sz w:val="20"/>
                <w:szCs w:val="20"/>
              </w:rPr>
              <w:t xml:space="preserve"> monitored fire detection system that has the ability to detect a fire in its early stages and notify an emergency responder at all times.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</w:p>
        </w:tc>
      </w:tr>
      <w:tr w:rsidR="00D86346" w:rsidRPr="00EC228C" w:rsidTr="00D86346">
        <w:trPr>
          <w:trHeight w:val="20"/>
        </w:trPr>
        <w:tc>
          <w:tcPr>
            <w:tcW w:w="1650" w:type="pct"/>
            <w:vMerge w:val="restart"/>
            <w:tcBorders>
              <w:left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b/>
                <w:sz w:val="20"/>
                <w:szCs w:val="20"/>
              </w:rPr>
            </w:pPr>
            <w:r w:rsidRPr="00E177B8">
              <w:rPr>
                <w:b/>
                <w:sz w:val="20"/>
                <w:szCs w:val="20"/>
              </w:rPr>
              <w:t xml:space="preserve">PO4 </w:t>
            </w:r>
            <w:r w:rsidRPr="00EC228C">
              <w:rPr>
                <w:sz w:val="20"/>
                <w:szCs w:val="20"/>
              </w:rPr>
              <w:t xml:space="preserve">Storage and handling areas for liquid or solid fire risk hazardous chemicals are provided with a spill containment system which: </w:t>
            </w:r>
          </w:p>
          <w:p w:rsidR="00D86346" w:rsidRPr="00EC228C" w:rsidRDefault="00D86346" w:rsidP="00EC228C">
            <w:pPr>
              <w:pStyle w:val="TabletextAOs"/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has a working volume capable of containing any reasonably foreseeable spill or leak within the boundaries of the development, including any resultant effluent generated in response to an emergency</w:t>
            </w:r>
          </w:p>
          <w:p w:rsidR="00D86346" w:rsidRPr="00EC228C" w:rsidRDefault="00D86346" w:rsidP="00EC228C">
            <w:pPr>
              <w:pStyle w:val="TabletextAOs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 xml:space="preserve">ensures that any prescribed hazardous chemicals that, if in contact with each other, </w:t>
            </w:r>
            <w:r w:rsidRPr="00EC228C">
              <w:rPr>
                <w:sz w:val="20"/>
                <w:szCs w:val="20"/>
              </w:rPr>
              <w:lastRenderedPageBreak/>
              <w:t>may react to produce a fire, explosion or other harmful reaction, or a flammable, toxic or corrosive vapour, are not brought together.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b/>
                <w:sz w:val="20"/>
                <w:szCs w:val="20"/>
              </w:rPr>
            </w:pPr>
            <w:r w:rsidRPr="00E177B8">
              <w:rPr>
                <w:b/>
                <w:sz w:val="20"/>
                <w:szCs w:val="20"/>
              </w:rPr>
              <w:lastRenderedPageBreak/>
              <w:t>AO4.1</w:t>
            </w:r>
            <w:r w:rsidRPr="00EC228C">
              <w:rPr>
                <w:sz w:val="20"/>
                <w:szCs w:val="20"/>
              </w:rPr>
              <w:t xml:space="preserve"> Storage and handling areas for packages of liquid or solid fire risk hazardous chemicals are provided with a spill containment system with a working volume capable of containing a minimum of 100 per cent of all packages (prescribed hazardous chemicals and/or non-hazardous chemicals) within the area plus the output of any fixed firefighting system provided for the area over a minimum of 90 minutes.</w:t>
            </w:r>
          </w:p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AND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</w:p>
        </w:tc>
      </w:tr>
      <w:tr w:rsidR="00D86346" w:rsidRPr="00EC228C" w:rsidTr="00D86346">
        <w:trPr>
          <w:trHeight w:val="20"/>
        </w:trPr>
        <w:tc>
          <w:tcPr>
            <w:tcW w:w="1650" w:type="pct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  <w:r w:rsidRPr="00E177B8">
              <w:rPr>
                <w:b/>
                <w:sz w:val="20"/>
                <w:szCs w:val="20"/>
              </w:rPr>
              <w:t>AO4.2</w:t>
            </w:r>
            <w:r w:rsidRPr="00EC228C">
              <w:rPr>
                <w:sz w:val="20"/>
                <w:szCs w:val="20"/>
              </w:rPr>
              <w:t xml:space="preserve"> Storage and handling areas for liquid or solid fire risk hazardous chemicals in tanks are provided with a spill containment system with a working volume capable of containing a minimum of:</w:t>
            </w:r>
          </w:p>
          <w:p w:rsidR="00D86346" w:rsidRPr="00EC228C" w:rsidRDefault="00D86346" w:rsidP="00EC228C">
            <w:pPr>
              <w:pStyle w:val="TabletextAOs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110 per cent of the largest tank within a spill compound or 25 per cent of the aggregate where multiple tanks are located within a spill compound, whichever is the greater</w:t>
            </w:r>
          </w:p>
          <w:p w:rsidR="00D86346" w:rsidRPr="00EC228C" w:rsidRDefault="00D86346" w:rsidP="00EC228C">
            <w:pPr>
              <w:pStyle w:val="TabletextAOs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the output of any fixed firefighting system provided for any bulk tank within a spill compound over a minimum of 90 minutes.</w:t>
            </w:r>
          </w:p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AND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</w:p>
        </w:tc>
      </w:tr>
      <w:tr w:rsidR="00D86346" w:rsidRPr="00EC228C" w:rsidTr="00D86346">
        <w:trPr>
          <w:trHeight w:val="20"/>
        </w:trPr>
        <w:tc>
          <w:tcPr>
            <w:tcW w:w="1650" w:type="pct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  <w:r w:rsidRPr="00E177B8">
              <w:rPr>
                <w:b/>
                <w:sz w:val="20"/>
                <w:szCs w:val="20"/>
              </w:rPr>
              <w:t>AO4.3</w:t>
            </w:r>
            <w:r w:rsidRPr="00EC228C">
              <w:rPr>
                <w:sz w:val="20"/>
                <w:szCs w:val="20"/>
              </w:rPr>
              <w:t xml:space="preserve"> The hazardous chemical facility does not store or handle any prescribed hazardous chemicals that, if in contact with each other, may react to produce a fire, explosion or other harmful reaction, or a flammable, toxic or corrosive vapour.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</w:p>
        </w:tc>
      </w:tr>
      <w:tr w:rsidR="00D86346" w:rsidRPr="00EC228C" w:rsidTr="00D86346">
        <w:trPr>
          <w:trHeight w:val="20"/>
        </w:trPr>
        <w:tc>
          <w:tcPr>
            <w:tcW w:w="1650" w:type="pct"/>
            <w:tcBorders>
              <w:left w:val="single" w:sz="4" w:space="0" w:color="333333"/>
              <w:right w:val="single" w:sz="4" w:space="0" w:color="333333"/>
            </w:tcBorders>
          </w:tcPr>
          <w:p w:rsidR="00D86346" w:rsidRPr="00EC228C" w:rsidRDefault="00D86346" w:rsidP="00343691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E177B8">
              <w:rPr>
                <w:b/>
                <w:sz w:val="20"/>
                <w:szCs w:val="20"/>
              </w:rPr>
              <w:t>PO5</w:t>
            </w:r>
            <w:r w:rsidRPr="00EC228C">
              <w:rPr>
                <w:sz w:val="20"/>
                <w:szCs w:val="20"/>
              </w:rPr>
              <w:t xml:space="preserve"> The hazardous chemical facility is located and/or designed to minimise any adverse consequence of: </w:t>
            </w:r>
          </w:p>
          <w:p w:rsidR="00D86346" w:rsidRPr="00EC228C" w:rsidRDefault="00D86346" w:rsidP="00343691">
            <w:pPr>
              <w:pStyle w:val="TabletextAOs"/>
              <w:numPr>
                <w:ilvl w:val="0"/>
                <w:numId w:val="24"/>
              </w:numPr>
              <w:spacing w:before="0" w:after="0"/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flood</w:t>
            </w:r>
          </w:p>
          <w:p w:rsidR="00D86346" w:rsidRPr="00EC228C" w:rsidRDefault="00D86346" w:rsidP="00343691">
            <w:pPr>
              <w:pStyle w:val="TabletextAOs"/>
              <w:numPr>
                <w:ilvl w:val="0"/>
                <w:numId w:val="24"/>
              </w:numPr>
              <w:spacing w:before="0" w:after="0"/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bushfire</w:t>
            </w:r>
          </w:p>
          <w:p w:rsidR="00D86346" w:rsidRPr="00EC228C" w:rsidRDefault="00D86346" w:rsidP="00343691">
            <w:pPr>
              <w:pStyle w:val="TabletextAOs"/>
              <w:numPr>
                <w:ilvl w:val="0"/>
                <w:numId w:val="24"/>
              </w:numPr>
              <w:spacing w:before="0" w:after="0"/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erosion or storm tide inundation</w:t>
            </w:r>
          </w:p>
          <w:p w:rsidR="00D86346" w:rsidRPr="00EC228C" w:rsidRDefault="00D86346" w:rsidP="00343691">
            <w:pPr>
              <w:pStyle w:val="TabletextAOs"/>
              <w:numPr>
                <w:ilvl w:val="0"/>
                <w:numId w:val="24"/>
              </w:numPr>
              <w:spacing w:before="0" w:after="0"/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landslide</w:t>
            </w:r>
          </w:p>
          <w:p w:rsidR="00D86346" w:rsidRPr="00EC228C" w:rsidRDefault="00D86346" w:rsidP="00343691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on a storage and handling area.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343691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E177B8">
              <w:rPr>
                <w:b/>
                <w:sz w:val="20"/>
                <w:szCs w:val="20"/>
              </w:rPr>
              <w:t>AO5.1</w:t>
            </w:r>
            <w:r w:rsidRPr="00EC228C">
              <w:rPr>
                <w:sz w:val="20"/>
                <w:szCs w:val="20"/>
              </w:rPr>
              <w:t xml:space="preserve"> Storage and handling areas are located outside of: </w:t>
            </w:r>
          </w:p>
          <w:p w:rsidR="00D86346" w:rsidRPr="00EC228C" w:rsidRDefault="00D86346" w:rsidP="00343691">
            <w:pPr>
              <w:pStyle w:val="TabletextAOs"/>
              <w:numPr>
                <w:ilvl w:val="0"/>
                <w:numId w:val="23"/>
              </w:numPr>
              <w:spacing w:before="0" w:after="0"/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 flood hazard area</w:t>
            </w:r>
          </w:p>
          <w:p w:rsidR="00D86346" w:rsidRPr="00EC228C" w:rsidRDefault="00D86346" w:rsidP="00343691">
            <w:pPr>
              <w:pStyle w:val="TabletextAOs"/>
              <w:numPr>
                <w:ilvl w:val="0"/>
                <w:numId w:val="23"/>
              </w:numPr>
              <w:spacing w:before="0" w:after="0"/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 bushfire prone area</w:t>
            </w:r>
          </w:p>
          <w:p w:rsidR="00D86346" w:rsidRPr="00EC228C" w:rsidRDefault="00D86346" w:rsidP="00343691">
            <w:pPr>
              <w:pStyle w:val="TabletextAOs"/>
              <w:numPr>
                <w:ilvl w:val="0"/>
                <w:numId w:val="23"/>
              </w:numPr>
              <w:spacing w:before="0" w:after="0"/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an erosion prone area or storm tide inundation area</w:t>
            </w:r>
          </w:p>
          <w:p w:rsidR="00D86346" w:rsidRPr="00EC228C" w:rsidRDefault="00D86346" w:rsidP="00343691">
            <w:pPr>
              <w:pStyle w:val="TabletextAOs"/>
              <w:numPr>
                <w:ilvl w:val="0"/>
                <w:numId w:val="23"/>
              </w:numPr>
              <w:spacing w:before="0" w:after="0"/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 landslide hazard area.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</w:p>
        </w:tc>
      </w:tr>
      <w:tr w:rsidR="00D86346" w:rsidRPr="00EC228C" w:rsidTr="00D86346">
        <w:trPr>
          <w:trHeight w:val="20"/>
        </w:trPr>
        <w:tc>
          <w:tcPr>
            <w:tcW w:w="1650" w:type="pct"/>
            <w:tcBorders>
              <w:left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  <w:r w:rsidRPr="00E177B8">
              <w:rPr>
                <w:b/>
                <w:sz w:val="20"/>
                <w:szCs w:val="20"/>
              </w:rPr>
              <w:t>PO6</w:t>
            </w:r>
            <w:r w:rsidRPr="00EC228C">
              <w:rPr>
                <w:sz w:val="20"/>
                <w:szCs w:val="20"/>
              </w:rPr>
              <w:t xml:space="preserve"> The hazardous chemical facility is located and/or designed to minimise any adverse consequence of a natural hazard such as an earthquake or wind action on a storage and handling area.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No acceptable outcome is prescribed.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</w:p>
        </w:tc>
      </w:tr>
    </w:tbl>
    <w:p w:rsidR="00E213F3" w:rsidRPr="00644DFE" w:rsidRDefault="00E213F3" w:rsidP="00EC228C"/>
    <w:sectPr w:rsidR="00E213F3" w:rsidRPr="00644DFE" w:rsidSect="00343691">
      <w:footerReference w:type="even" r:id="rId8"/>
      <w:footerReference w:type="default" r:id="rId9"/>
      <w:pgSz w:w="16838" w:h="11906" w:orient="landscape"/>
      <w:pgMar w:top="992" w:right="1245" w:bottom="1438" w:left="992" w:header="680" w:footer="68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271" w:rsidRDefault="000B6271" w:rsidP="00EC228C">
      <w:r>
        <w:separator/>
      </w:r>
    </w:p>
    <w:p w:rsidR="000B6271" w:rsidRDefault="000B6271" w:rsidP="00EC228C"/>
    <w:p w:rsidR="000B6271" w:rsidRDefault="000B6271" w:rsidP="00EC228C"/>
    <w:p w:rsidR="000B6271" w:rsidRDefault="000B6271" w:rsidP="00EC228C"/>
    <w:p w:rsidR="000B6271" w:rsidRDefault="000B6271" w:rsidP="00EC228C"/>
    <w:p w:rsidR="000B6271" w:rsidRDefault="000B6271" w:rsidP="00EC228C"/>
  </w:endnote>
  <w:endnote w:type="continuationSeparator" w:id="0">
    <w:p w:rsidR="000B6271" w:rsidRDefault="000B6271" w:rsidP="00EC228C">
      <w:r>
        <w:continuationSeparator/>
      </w:r>
    </w:p>
    <w:p w:rsidR="000B6271" w:rsidRDefault="000B6271" w:rsidP="00EC228C"/>
    <w:p w:rsidR="000B6271" w:rsidRDefault="000B6271" w:rsidP="00EC228C"/>
    <w:p w:rsidR="000B6271" w:rsidRDefault="000B6271" w:rsidP="00EC228C"/>
    <w:p w:rsidR="000B6271" w:rsidRDefault="000B6271" w:rsidP="00EC228C"/>
    <w:p w:rsidR="000B6271" w:rsidRDefault="000B6271" w:rsidP="00EC22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OT-Book">
    <w:altName w:val="Malgun Gothic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1E" w:rsidRDefault="0001091E" w:rsidP="00EC228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91E" w:rsidRDefault="0001091E" w:rsidP="00EC228C">
    <w:pPr>
      <w:pStyle w:val="Footer"/>
    </w:pPr>
  </w:p>
  <w:p w:rsidR="0001091E" w:rsidRDefault="0001091E" w:rsidP="00EC228C"/>
  <w:p w:rsidR="00C25F18" w:rsidRDefault="00C25F18" w:rsidP="00EC228C"/>
  <w:p w:rsidR="003E6A20" w:rsidRDefault="003E6A20" w:rsidP="00EC228C"/>
  <w:p w:rsidR="005D5F2A" w:rsidRDefault="005D5F2A" w:rsidP="00EC22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1E" w:rsidRPr="00343691" w:rsidRDefault="0001091E" w:rsidP="00EC228C">
    <w:pPr>
      <w:pStyle w:val="Footer"/>
      <w:rPr>
        <w:b/>
        <w:sz w:val="22"/>
        <w:szCs w:val="22"/>
      </w:rPr>
    </w:pPr>
    <w:r w:rsidRPr="00343691">
      <w:rPr>
        <w:b/>
        <w:sz w:val="22"/>
        <w:szCs w:val="22"/>
      </w:rPr>
      <w:t xml:space="preserve">State </w:t>
    </w:r>
    <w:r w:rsidR="00201EAF" w:rsidRPr="00343691">
      <w:rPr>
        <w:b/>
        <w:sz w:val="22"/>
        <w:szCs w:val="22"/>
      </w:rPr>
      <w:t xml:space="preserve">Development Assessment Provisions – </w:t>
    </w:r>
    <w:r w:rsidR="006A45F9">
      <w:rPr>
        <w:b/>
        <w:sz w:val="22"/>
        <w:szCs w:val="22"/>
      </w:rPr>
      <w:t>version 2.</w:t>
    </w:r>
    <w:r w:rsidR="0034006B">
      <w:rPr>
        <w:b/>
        <w:sz w:val="22"/>
        <w:szCs w:val="22"/>
      </w:rPr>
      <w:t>6</w:t>
    </w:r>
    <w:r w:rsidRPr="00343691">
      <w:rPr>
        <w:b/>
        <w:sz w:val="22"/>
        <w:szCs w:val="22"/>
      </w:rPr>
      <w:tab/>
    </w:r>
    <w:r w:rsidR="001F10C6" w:rsidRPr="00343691">
      <w:rPr>
        <w:b/>
        <w:sz w:val="22"/>
        <w:szCs w:val="22"/>
      </w:rPr>
      <w:tab/>
    </w:r>
  </w:p>
  <w:p w:rsidR="0001091E" w:rsidRPr="00EC228C" w:rsidRDefault="00D6133B" w:rsidP="00EC228C">
    <w:pPr>
      <w:pStyle w:val="Footer"/>
      <w:rPr>
        <w:sz w:val="20"/>
        <w:szCs w:val="20"/>
      </w:rPr>
    </w:pPr>
    <w:r w:rsidRPr="00343691">
      <w:rPr>
        <w:b/>
        <w:sz w:val="22"/>
        <w:szCs w:val="22"/>
      </w:rPr>
      <w:t>State code 21</w:t>
    </w:r>
    <w:r w:rsidR="0054092F" w:rsidRPr="00343691">
      <w:rPr>
        <w:b/>
        <w:sz w:val="22"/>
        <w:szCs w:val="22"/>
      </w:rPr>
      <w:t xml:space="preserve">: </w:t>
    </w:r>
    <w:r w:rsidRPr="00343691">
      <w:rPr>
        <w:b/>
        <w:sz w:val="22"/>
        <w:szCs w:val="22"/>
      </w:rPr>
      <w:t>Hazardous chemical facilities</w:t>
    </w:r>
    <w:r w:rsidR="0001091E" w:rsidRPr="00343691">
      <w:rPr>
        <w:b/>
        <w:sz w:val="22"/>
        <w:szCs w:val="22"/>
      </w:rPr>
      <w:t xml:space="preserve"> </w:t>
    </w:r>
    <w:r w:rsidR="0001091E" w:rsidRPr="00343691">
      <w:rPr>
        <w:b/>
        <w:sz w:val="22"/>
        <w:szCs w:val="22"/>
      </w:rPr>
      <w:tab/>
    </w:r>
    <w:r w:rsidR="0001091E" w:rsidRPr="00EC228C">
      <w:rPr>
        <w:sz w:val="20"/>
        <w:szCs w:val="20"/>
      </w:rPr>
      <w:tab/>
    </w:r>
    <w:r w:rsidR="0001091E" w:rsidRPr="00EC228C">
      <w:rPr>
        <w:sz w:val="20"/>
        <w:szCs w:val="20"/>
      </w:rPr>
      <w:tab/>
    </w:r>
    <w:r w:rsidR="0001091E" w:rsidRPr="00EC228C">
      <w:rPr>
        <w:sz w:val="20"/>
        <w:szCs w:val="20"/>
      </w:rPr>
      <w:tab/>
    </w:r>
    <w:r w:rsidR="0001091E" w:rsidRPr="00EC228C">
      <w:rPr>
        <w:sz w:val="20"/>
        <w:szCs w:val="20"/>
      </w:rPr>
      <w:tab/>
    </w:r>
    <w:r w:rsidR="0001091E" w:rsidRPr="00EC228C">
      <w:rPr>
        <w:sz w:val="20"/>
        <w:szCs w:val="20"/>
      </w:rPr>
      <w:tab/>
    </w:r>
    <w:r w:rsidR="0001091E" w:rsidRPr="00EC228C">
      <w:rPr>
        <w:sz w:val="20"/>
        <w:szCs w:val="20"/>
      </w:rPr>
      <w:tab/>
    </w:r>
    <w:r w:rsidR="0001091E" w:rsidRPr="00EC228C">
      <w:rPr>
        <w:sz w:val="20"/>
        <w:szCs w:val="20"/>
      </w:rPr>
      <w:tab/>
      <w:t xml:space="preserve">Page </w:t>
    </w:r>
    <w:r w:rsidR="0001091E" w:rsidRPr="00EC228C">
      <w:rPr>
        <w:sz w:val="20"/>
        <w:szCs w:val="20"/>
      </w:rPr>
      <w:fldChar w:fldCharType="begin"/>
    </w:r>
    <w:r w:rsidR="0001091E" w:rsidRPr="00EC228C">
      <w:rPr>
        <w:sz w:val="20"/>
        <w:szCs w:val="20"/>
      </w:rPr>
      <w:instrText xml:space="preserve"> PAGE </w:instrText>
    </w:r>
    <w:r w:rsidR="0001091E" w:rsidRPr="00EC228C">
      <w:rPr>
        <w:sz w:val="20"/>
        <w:szCs w:val="20"/>
      </w:rPr>
      <w:fldChar w:fldCharType="separate"/>
    </w:r>
    <w:r w:rsidR="00343691">
      <w:rPr>
        <w:noProof/>
        <w:sz w:val="20"/>
        <w:szCs w:val="20"/>
      </w:rPr>
      <w:t>3</w:t>
    </w:r>
    <w:r w:rsidR="0001091E" w:rsidRPr="00EC228C">
      <w:rPr>
        <w:sz w:val="20"/>
        <w:szCs w:val="20"/>
      </w:rPr>
      <w:fldChar w:fldCharType="end"/>
    </w:r>
    <w:r w:rsidR="0001091E" w:rsidRPr="00EC228C">
      <w:rPr>
        <w:sz w:val="20"/>
        <w:szCs w:val="20"/>
      </w:rPr>
      <w:t xml:space="preserve"> of </w:t>
    </w:r>
    <w:r w:rsidR="009223C2" w:rsidRPr="00EC228C">
      <w:rPr>
        <w:sz w:val="20"/>
        <w:szCs w:val="20"/>
      </w:rPr>
      <w:fldChar w:fldCharType="begin"/>
    </w:r>
    <w:r w:rsidR="009223C2" w:rsidRPr="00EC228C">
      <w:rPr>
        <w:sz w:val="20"/>
        <w:szCs w:val="20"/>
      </w:rPr>
      <w:instrText xml:space="preserve"> NUMPAGES </w:instrText>
    </w:r>
    <w:r w:rsidR="009223C2" w:rsidRPr="00EC228C">
      <w:rPr>
        <w:sz w:val="20"/>
        <w:szCs w:val="20"/>
      </w:rPr>
      <w:fldChar w:fldCharType="separate"/>
    </w:r>
    <w:r w:rsidR="00343691">
      <w:rPr>
        <w:noProof/>
        <w:sz w:val="20"/>
        <w:szCs w:val="20"/>
      </w:rPr>
      <w:t>3</w:t>
    </w:r>
    <w:r w:rsidR="009223C2" w:rsidRPr="00EC228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271" w:rsidRDefault="000B6271" w:rsidP="00EC228C">
      <w:r>
        <w:separator/>
      </w:r>
    </w:p>
    <w:p w:rsidR="000B6271" w:rsidRDefault="000B6271" w:rsidP="00EC228C"/>
    <w:p w:rsidR="000B6271" w:rsidRDefault="000B6271" w:rsidP="00EC228C"/>
    <w:p w:rsidR="000B6271" w:rsidRDefault="000B6271" w:rsidP="00EC228C"/>
    <w:p w:rsidR="000B6271" w:rsidRDefault="000B6271" w:rsidP="00EC228C"/>
    <w:p w:rsidR="000B6271" w:rsidRDefault="000B6271" w:rsidP="00EC228C"/>
  </w:footnote>
  <w:footnote w:type="continuationSeparator" w:id="0">
    <w:p w:rsidR="000B6271" w:rsidRDefault="000B6271" w:rsidP="00EC228C">
      <w:r>
        <w:continuationSeparator/>
      </w:r>
    </w:p>
    <w:p w:rsidR="000B6271" w:rsidRDefault="000B6271" w:rsidP="00EC228C"/>
    <w:p w:rsidR="000B6271" w:rsidRDefault="000B6271" w:rsidP="00EC228C"/>
    <w:p w:rsidR="000B6271" w:rsidRDefault="000B6271" w:rsidP="00EC228C"/>
    <w:p w:rsidR="000B6271" w:rsidRDefault="000B6271" w:rsidP="00EC228C"/>
    <w:p w:rsidR="000B6271" w:rsidRDefault="000B6271" w:rsidP="00EC22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pStyle w:val="CoverDetail1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pStyle w:val="TableTitle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0" w15:restartNumberingAfterBreak="0">
    <w:nsid w:val="0FE90837"/>
    <w:multiLevelType w:val="hybridMultilevel"/>
    <w:tmpl w:val="BFBC48D2"/>
    <w:lvl w:ilvl="0" w:tplc="F8989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25C11"/>
    <w:multiLevelType w:val="hybridMultilevel"/>
    <w:tmpl w:val="47723014"/>
    <w:lvl w:ilvl="0" w:tplc="329CD830">
      <w:start w:val="1"/>
      <w:numFmt w:val="decimal"/>
      <w:pStyle w:val="Tabletextnotebullet1"/>
      <w:lvlText w:val="(%1)"/>
      <w:lvlJc w:val="left"/>
      <w:pPr>
        <w:tabs>
          <w:tab w:val="num" w:pos="360"/>
        </w:tabs>
        <w:ind w:left="360" w:hanging="360"/>
      </w:pPr>
      <w:rPr>
        <w:rFonts w:ascii="MetaOT-Book" w:hAnsi="MetaOT-Book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26B16"/>
    <w:multiLevelType w:val="multilevel"/>
    <w:tmpl w:val="E286D540"/>
    <w:lvl w:ilvl="0">
      <w:start w:val="1"/>
      <w:numFmt w:val="decimal"/>
      <w:pStyle w:val="Heading1"/>
      <w:lvlText w:val="Module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3F33D77"/>
    <w:multiLevelType w:val="hybridMultilevel"/>
    <w:tmpl w:val="34BA47B2"/>
    <w:lvl w:ilvl="0" w:tplc="DB82B3FC">
      <w:start w:val="1"/>
      <w:numFmt w:val="lowerLetter"/>
      <w:pStyle w:val="tablebullet2"/>
      <w:lvlText w:val="(%1)"/>
      <w:lvlJc w:val="left"/>
      <w:pPr>
        <w:tabs>
          <w:tab w:val="num" w:pos="-351"/>
        </w:tabs>
        <w:ind w:left="6" w:firstLine="351"/>
      </w:pPr>
      <w:rPr>
        <w:rFonts w:ascii="MetaOT-Book" w:hAnsi="MetaOT-Book" w:hint="default"/>
        <w:sz w:val="18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F25B39"/>
    <w:multiLevelType w:val="multilevel"/>
    <w:tmpl w:val="F4F4D68E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5" w15:restartNumberingAfterBreak="0">
    <w:nsid w:val="3B29653A"/>
    <w:multiLevelType w:val="hybridMultilevel"/>
    <w:tmpl w:val="2730C658"/>
    <w:lvl w:ilvl="0" w:tplc="C2C0F360">
      <w:start w:val="1"/>
      <w:numFmt w:val="decimal"/>
      <w:pStyle w:val="Glossarynumbering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740240"/>
    <w:multiLevelType w:val="multilevel"/>
    <w:tmpl w:val="F448399C"/>
    <w:lvl w:ilvl="0">
      <w:start w:val="1"/>
      <w:numFmt w:val="decimal"/>
      <w:pStyle w:val="AppendixHeading1"/>
      <w:suff w:val="nothing"/>
      <w:lvlText w:val="Appendix %1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2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3D5D51BE"/>
    <w:multiLevelType w:val="hybridMultilevel"/>
    <w:tmpl w:val="382414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46100"/>
    <w:multiLevelType w:val="hybridMultilevel"/>
    <w:tmpl w:val="F91A18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C5628"/>
    <w:multiLevelType w:val="hybridMultilevel"/>
    <w:tmpl w:val="DD6E6192"/>
    <w:lvl w:ilvl="0" w:tplc="F8989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2BC4BC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138FC"/>
    <w:multiLevelType w:val="multilevel"/>
    <w:tmpl w:val="0F3CACA2"/>
    <w:lvl w:ilvl="0">
      <w:start w:val="1"/>
      <w:numFmt w:val="decimal"/>
      <w:pStyle w:val="TableBullet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63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723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3" w:hanging="360"/>
      </w:pPr>
      <w:rPr>
        <w:rFonts w:hint="default"/>
      </w:rPr>
    </w:lvl>
  </w:abstractNum>
  <w:abstractNum w:abstractNumId="21" w15:restartNumberingAfterBreak="0">
    <w:nsid w:val="4B6B112A"/>
    <w:multiLevelType w:val="multilevel"/>
    <w:tmpl w:val="4378E41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058"/>
        <w:sz w:val="48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78BA2E"/>
        <w:sz w:val="40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058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638"/>
        </w:tabs>
        <w:ind w:left="163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418" w:hanging="1418"/>
      </w:pPr>
      <w:rPr>
        <w:rFonts w:ascii="MetaOT-Book" w:hAnsi="MetaOT-Book" w:hint="default"/>
        <w:b/>
        <w:i w:val="0"/>
        <w:color w:val="333333"/>
        <w:sz w:val="20"/>
      </w:rPr>
    </w:lvl>
    <w:lvl w:ilvl="5">
      <w:start w:val="1"/>
      <w:numFmt w:val="decimal"/>
      <w:lvlRestart w:val="3"/>
      <w:pStyle w:val="ListNumber"/>
      <w:lvlText w:val="(%6)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6">
      <w:start w:val="1"/>
      <w:numFmt w:val="lowerLetter"/>
      <w:lvlText w:val="(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(%8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</w:rPr>
    </w:lvl>
  </w:abstractNum>
  <w:abstractNum w:abstractNumId="22" w15:restartNumberingAfterBreak="0">
    <w:nsid w:val="515A34E1"/>
    <w:multiLevelType w:val="hybridMultilevel"/>
    <w:tmpl w:val="9AFA0244"/>
    <w:lvl w:ilvl="0" w:tplc="F8989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234A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E4B05"/>
    <w:multiLevelType w:val="hybridMultilevel"/>
    <w:tmpl w:val="67B0550E"/>
    <w:lvl w:ilvl="0" w:tplc="F8989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F6B34"/>
    <w:multiLevelType w:val="hybridMultilevel"/>
    <w:tmpl w:val="E8E4F932"/>
    <w:lvl w:ilvl="0" w:tplc="F8989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F2010"/>
    <w:multiLevelType w:val="multilevel"/>
    <w:tmpl w:val="DDC8FAB0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6" w15:restartNumberingAfterBreak="0">
    <w:nsid w:val="626C21AA"/>
    <w:multiLevelType w:val="multilevel"/>
    <w:tmpl w:val="5538C0F0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7" w15:restartNumberingAfterBreak="0">
    <w:nsid w:val="63673215"/>
    <w:multiLevelType w:val="hybridMultilevel"/>
    <w:tmpl w:val="1702E75C"/>
    <w:lvl w:ilvl="0" w:tplc="B148B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7A294466"/>
    <w:multiLevelType w:val="hybridMultilevel"/>
    <w:tmpl w:val="7F287E7A"/>
    <w:lvl w:ilvl="0" w:tplc="F8989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6"/>
  </w:num>
  <w:num w:numId="4">
    <w:abstractNumId w:val="29"/>
  </w:num>
  <w:num w:numId="5">
    <w:abstractNumId w:val="8"/>
  </w:num>
  <w:num w:numId="6">
    <w:abstractNumId w:val="2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14"/>
  </w:num>
  <w:num w:numId="17">
    <w:abstractNumId w:val="9"/>
  </w:num>
  <w:num w:numId="18">
    <w:abstractNumId w:val="21"/>
  </w:num>
  <w:num w:numId="19">
    <w:abstractNumId w:val="15"/>
  </w:num>
  <w:num w:numId="20">
    <w:abstractNumId w:val="11"/>
  </w:num>
  <w:num w:numId="21">
    <w:abstractNumId w:val="20"/>
  </w:num>
  <w:num w:numId="22">
    <w:abstractNumId w:val="13"/>
  </w:num>
  <w:num w:numId="23">
    <w:abstractNumId w:val="27"/>
  </w:num>
  <w:num w:numId="24">
    <w:abstractNumId w:val="18"/>
  </w:num>
  <w:num w:numId="25">
    <w:abstractNumId w:val="17"/>
  </w:num>
  <w:num w:numId="26">
    <w:abstractNumId w:val="10"/>
  </w:num>
  <w:num w:numId="27">
    <w:abstractNumId w:val="30"/>
  </w:num>
  <w:num w:numId="28">
    <w:abstractNumId w:val="22"/>
  </w:num>
  <w:num w:numId="29">
    <w:abstractNumId w:val="23"/>
  </w:num>
  <w:num w:numId="30">
    <w:abstractNumId w:val="24"/>
  </w:num>
  <w:num w:numId="3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D8"/>
    <w:rsid w:val="000039F4"/>
    <w:rsid w:val="0001091E"/>
    <w:rsid w:val="0002510C"/>
    <w:rsid w:val="000918A5"/>
    <w:rsid w:val="000A1DE9"/>
    <w:rsid w:val="000B6271"/>
    <w:rsid w:val="000C0828"/>
    <w:rsid w:val="000C34E3"/>
    <w:rsid w:val="000C4653"/>
    <w:rsid w:val="000C567C"/>
    <w:rsid w:val="000D69C9"/>
    <w:rsid w:val="000E36BA"/>
    <w:rsid w:val="000E7490"/>
    <w:rsid w:val="000F271D"/>
    <w:rsid w:val="00111ADA"/>
    <w:rsid w:val="00120F16"/>
    <w:rsid w:val="00146652"/>
    <w:rsid w:val="001525C3"/>
    <w:rsid w:val="00156577"/>
    <w:rsid w:val="001663DF"/>
    <w:rsid w:val="00170E9F"/>
    <w:rsid w:val="001804D5"/>
    <w:rsid w:val="0019352F"/>
    <w:rsid w:val="00193C5D"/>
    <w:rsid w:val="00193E7B"/>
    <w:rsid w:val="001C70C0"/>
    <w:rsid w:val="001D4094"/>
    <w:rsid w:val="001E4D5F"/>
    <w:rsid w:val="001F10C6"/>
    <w:rsid w:val="00201EAF"/>
    <w:rsid w:val="00202E9F"/>
    <w:rsid w:val="0021512A"/>
    <w:rsid w:val="00246DB9"/>
    <w:rsid w:val="00247232"/>
    <w:rsid w:val="0026103D"/>
    <w:rsid w:val="00281EE9"/>
    <w:rsid w:val="00286808"/>
    <w:rsid w:val="00287FF3"/>
    <w:rsid w:val="00290331"/>
    <w:rsid w:val="002A0B8F"/>
    <w:rsid w:val="002B25E3"/>
    <w:rsid w:val="002F71B3"/>
    <w:rsid w:val="00313C1B"/>
    <w:rsid w:val="0034006B"/>
    <w:rsid w:val="00343691"/>
    <w:rsid w:val="003474E4"/>
    <w:rsid w:val="003549FE"/>
    <w:rsid w:val="0036650E"/>
    <w:rsid w:val="00376B28"/>
    <w:rsid w:val="003B601B"/>
    <w:rsid w:val="003D3803"/>
    <w:rsid w:val="003E6A20"/>
    <w:rsid w:val="003F71C9"/>
    <w:rsid w:val="00424BC7"/>
    <w:rsid w:val="004332A1"/>
    <w:rsid w:val="00447977"/>
    <w:rsid w:val="004912EC"/>
    <w:rsid w:val="00491ADD"/>
    <w:rsid w:val="004B0F1E"/>
    <w:rsid w:val="004B6CA4"/>
    <w:rsid w:val="004C50FC"/>
    <w:rsid w:val="004F2AE0"/>
    <w:rsid w:val="004F3FBF"/>
    <w:rsid w:val="00505041"/>
    <w:rsid w:val="00540584"/>
    <w:rsid w:val="0054092F"/>
    <w:rsid w:val="00552CFA"/>
    <w:rsid w:val="00583247"/>
    <w:rsid w:val="005A246A"/>
    <w:rsid w:val="005A6D1D"/>
    <w:rsid w:val="005A7550"/>
    <w:rsid w:val="005D5F2A"/>
    <w:rsid w:val="006038CE"/>
    <w:rsid w:val="00644DFE"/>
    <w:rsid w:val="00657FAD"/>
    <w:rsid w:val="006629D9"/>
    <w:rsid w:val="00663D7D"/>
    <w:rsid w:val="00682D53"/>
    <w:rsid w:val="00682EC4"/>
    <w:rsid w:val="006A3B90"/>
    <w:rsid w:val="006A45F9"/>
    <w:rsid w:val="006A7F04"/>
    <w:rsid w:val="006B32EC"/>
    <w:rsid w:val="006F0478"/>
    <w:rsid w:val="006F36D8"/>
    <w:rsid w:val="006F6771"/>
    <w:rsid w:val="0071097B"/>
    <w:rsid w:val="00730A42"/>
    <w:rsid w:val="007370D3"/>
    <w:rsid w:val="00744A44"/>
    <w:rsid w:val="00756201"/>
    <w:rsid w:val="0076449D"/>
    <w:rsid w:val="00785951"/>
    <w:rsid w:val="0079154C"/>
    <w:rsid w:val="007B4F01"/>
    <w:rsid w:val="007D4D30"/>
    <w:rsid w:val="007F04AF"/>
    <w:rsid w:val="007F04EB"/>
    <w:rsid w:val="007F43CF"/>
    <w:rsid w:val="0082382C"/>
    <w:rsid w:val="008347B7"/>
    <w:rsid w:val="008426C0"/>
    <w:rsid w:val="00852389"/>
    <w:rsid w:val="00857309"/>
    <w:rsid w:val="00871D2F"/>
    <w:rsid w:val="009223C2"/>
    <w:rsid w:val="00922976"/>
    <w:rsid w:val="0092741D"/>
    <w:rsid w:val="0095228F"/>
    <w:rsid w:val="009662E2"/>
    <w:rsid w:val="00971B51"/>
    <w:rsid w:val="00974393"/>
    <w:rsid w:val="00983C58"/>
    <w:rsid w:val="00991521"/>
    <w:rsid w:val="00996E28"/>
    <w:rsid w:val="00A110DE"/>
    <w:rsid w:val="00AC4254"/>
    <w:rsid w:val="00B03B88"/>
    <w:rsid w:val="00B1102D"/>
    <w:rsid w:val="00B20D9C"/>
    <w:rsid w:val="00B60C1E"/>
    <w:rsid w:val="00B80823"/>
    <w:rsid w:val="00B840A1"/>
    <w:rsid w:val="00B90D04"/>
    <w:rsid w:val="00BB5E39"/>
    <w:rsid w:val="00BB715B"/>
    <w:rsid w:val="00BC3A56"/>
    <w:rsid w:val="00BE06E4"/>
    <w:rsid w:val="00BF34AC"/>
    <w:rsid w:val="00BF3B95"/>
    <w:rsid w:val="00C04F5B"/>
    <w:rsid w:val="00C232D3"/>
    <w:rsid w:val="00C23480"/>
    <w:rsid w:val="00C23B46"/>
    <w:rsid w:val="00C25F18"/>
    <w:rsid w:val="00C316A2"/>
    <w:rsid w:val="00C7106C"/>
    <w:rsid w:val="00C858BB"/>
    <w:rsid w:val="00C94CC8"/>
    <w:rsid w:val="00CC1B57"/>
    <w:rsid w:val="00CC2D67"/>
    <w:rsid w:val="00CD02B1"/>
    <w:rsid w:val="00CE0F3F"/>
    <w:rsid w:val="00D275DC"/>
    <w:rsid w:val="00D36D7A"/>
    <w:rsid w:val="00D57045"/>
    <w:rsid w:val="00D5760E"/>
    <w:rsid w:val="00D6133B"/>
    <w:rsid w:val="00D62A22"/>
    <w:rsid w:val="00D62B12"/>
    <w:rsid w:val="00D86346"/>
    <w:rsid w:val="00D869A8"/>
    <w:rsid w:val="00D971A8"/>
    <w:rsid w:val="00DA51B6"/>
    <w:rsid w:val="00DB465C"/>
    <w:rsid w:val="00DD0399"/>
    <w:rsid w:val="00DD61E1"/>
    <w:rsid w:val="00DF619C"/>
    <w:rsid w:val="00E177B8"/>
    <w:rsid w:val="00E213F3"/>
    <w:rsid w:val="00E30C1E"/>
    <w:rsid w:val="00E313C0"/>
    <w:rsid w:val="00E8705B"/>
    <w:rsid w:val="00EA4984"/>
    <w:rsid w:val="00EC228C"/>
    <w:rsid w:val="00EC3F9A"/>
    <w:rsid w:val="00ED1E67"/>
    <w:rsid w:val="00EF30A3"/>
    <w:rsid w:val="00F02D31"/>
    <w:rsid w:val="00F419CE"/>
    <w:rsid w:val="00F532CE"/>
    <w:rsid w:val="00F83BE6"/>
    <w:rsid w:val="00FA001D"/>
    <w:rsid w:val="00FA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46C67E-8DB4-434F-9AD6-08CDDAFF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EC228C"/>
    <w:pPr>
      <w:spacing w:before="60" w:after="60"/>
    </w:pPr>
    <w:rPr>
      <w:rFonts w:ascii="Arial" w:hAnsi="Arial"/>
      <w:bCs/>
      <w:sz w:val="32"/>
      <w:szCs w:val="32"/>
    </w:rPr>
  </w:style>
  <w:style w:type="paragraph" w:styleId="Heading1">
    <w:name w:val="heading 1"/>
    <w:next w:val="BodyText"/>
    <w:qFormat/>
    <w:rsid w:val="007370D3"/>
    <w:pPr>
      <w:pageBreakBefore/>
      <w:numPr>
        <w:numId w:val="1"/>
      </w:numPr>
      <w:spacing w:before="360" w:after="120"/>
      <w:outlineLvl w:val="0"/>
    </w:pPr>
    <w:rPr>
      <w:rFonts w:ascii="Arial" w:hAnsi="Arial"/>
      <w:b/>
      <w:color w:val="003058"/>
      <w:sz w:val="36"/>
      <w:szCs w:val="36"/>
    </w:rPr>
  </w:style>
  <w:style w:type="paragraph" w:styleId="Heading2">
    <w:name w:val="heading 2"/>
    <w:next w:val="BodyText"/>
    <w:qFormat/>
    <w:rsid w:val="00EF30A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color w:val="000000"/>
      <w:sz w:val="24"/>
      <w:szCs w:val="24"/>
    </w:rPr>
  </w:style>
  <w:style w:type="paragraph" w:styleId="Heading3">
    <w:name w:val="heading 3"/>
    <w:next w:val="BodyText"/>
    <w:qFormat/>
    <w:rsid w:val="007370D3"/>
    <w:pPr>
      <w:keepNext/>
      <w:numPr>
        <w:ilvl w:val="2"/>
        <w:numId w:val="1"/>
      </w:numPr>
      <w:spacing w:before="280" w:after="140"/>
      <w:outlineLvl w:val="2"/>
    </w:pPr>
    <w:rPr>
      <w:rFonts w:ascii="Arial" w:hAnsi="Arial"/>
      <w:b/>
      <w:color w:val="003058"/>
      <w:szCs w:val="24"/>
    </w:rPr>
  </w:style>
  <w:style w:type="paragraph" w:styleId="Heading4">
    <w:name w:val="heading 4"/>
    <w:next w:val="BodyText"/>
    <w:qFormat/>
    <w:rsid w:val="007370D3"/>
    <w:pPr>
      <w:keepNext/>
      <w:spacing w:before="240" w:after="120"/>
      <w:outlineLvl w:val="3"/>
    </w:pPr>
    <w:rPr>
      <w:rFonts w:ascii="Arial" w:hAnsi="Arial"/>
      <w:b/>
      <w:color w:val="78BA2E"/>
      <w:sz w:val="24"/>
      <w:szCs w:val="24"/>
    </w:rPr>
  </w:style>
  <w:style w:type="paragraph" w:styleId="Heading5">
    <w:name w:val="heading 5"/>
    <w:next w:val="BodyText"/>
    <w:qFormat/>
    <w:rsid w:val="007370D3"/>
    <w:pPr>
      <w:keepNext/>
      <w:keepLines/>
      <w:numPr>
        <w:ilvl w:val="4"/>
        <w:numId w:val="1"/>
      </w:numPr>
      <w:spacing w:before="220" w:after="100"/>
      <w:outlineLvl w:val="4"/>
    </w:pPr>
    <w:rPr>
      <w:rFonts w:ascii="Arial" w:hAnsi="Arial"/>
      <w:b/>
      <w:sz w:val="22"/>
      <w:szCs w:val="24"/>
    </w:rPr>
  </w:style>
  <w:style w:type="paragraph" w:styleId="Heading6">
    <w:name w:val="heading 6"/>
    <w:next w:val="BodyText"/>
    <w:qFormat/>
    <w:rsid w:val="007370D3"/>
    <w:pPr>
      <w:keepNext/>
      <w:numPr>
        <w:ilvl w:val="5"/>
        <w:numId w:val="1"/>
      </w:numPr>
      <w:spacing w:before="220" w:after="100"/>
      <w:outlineLvl w:val="5"/>
    </w:pPr>
    <w:rPr>
      <w:rFonts w:ascii="Arial" w:hAnsi="Arial"/>
      <w:bCs/>
      <w:i/>
      <w:color w:val="78BA2E"/>
      <w:sz w:val="22"/>
      <w:szCs w:val="22"/>
    </w:rPr>
  </w:style>
  <w:style w:type="paragraph" w:styleId="Heading7">
    <w:name w:val="heading 7"/>
    <w:basedOn w:val="Normal"/>
    <w:next w:val="Normal"/>
    <w:qFormat/>
    <w:rsid w:val="007370D3"/>
    <w:pPr>
      <w:numPr>
        <w:ilvl w:val="6"/>
        <w:numId w:val="1"/>
      </w:numPr>
      <w:spacing w:before="240"/>
      <w:outlineLvl w:val="6"/>
    </w:pPr>
  </w:style>
  <w:style w:type="paragraph" w:styleId="Heading8">
    <w:name w:val="heading 8"/>
    <w:basedOn w:val="Normal"/>
    <w:next w:val="Normal"/>
    <w:qFormat/>
    <w:rsid w:val="007370D3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370D3"/>
    <w:pPr>
      <w:numPr>
        <w:ilvl w:val="8"/>
        <w:numId w:val="1"/>
      </w:numPr>
      <w:spacing w:before="240"/>
      <w:outlineLvl w:val="8"/>
    </w:pPr>
    <w:rPr>
      <w:rFonts w:ascii="MetaOT-Book" w:hAnsi="MetaOT-Book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0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370D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7370D3"/>
    <w:pPr>
      <w:spacing w:after="120"/>
    </w:pPr>
  </w:style>
  <w:style w:type="paragraph" w:customStyle="1" w:styleId="AppendixHeading1">
    <w:name w:val="Appendix Heading 1"/>
    <w:basedOn w:val="Normal"/>
    <w:next w:val="BodyText"/>
    <w:semiHidden/>
    <w:rsid w:val="007370D3"/>
    <w:pPr>
      <w:pageBreakBefore/>
      <w:numPr>
        <w:numId w:val="2"/>
      </w:numPr>
      <w:tabs>
        <w:tab w:val="num" w:pos="360"/>
      </w:tabs>
      <w:spacing w:after="200"/>
    </w:pPr>
    <w:rPr>
      <w:rFonts w:ascii="MetaOT-Book" w:hAnsi="MetaOT-Book"/>
      <w:b/>
      <w:color w:val="003058"/>
      <w:sz w:val="40"/>
      <w:szCs w:val="36"/>
    </w:rPr>
  </w:style>
  <w:style w:type="paragraph" w:styleId="BodyText2">
    <w:name w:val="Body Text 2"/>
    <w:basedOn w:val="Normal"/>
    <w:semiHidden/>
    <w:rsid w:val="007370D3"/>
    <w:pPr>
      <w:spacing w:after="120" w:line="480" w:lineRule="auto"/>
    </w:pPr>
  </w:style>
  <w:style w:type="paragraph" w:styleId="ListBullet">
    <w:name w:val="List Bullet"/>
    <w:link w:val="ListBulletChar"/>
    <w:qFormat/>
    <w:rsid w:val="007370D3"/>
    <w:pPr>
      <w:numPr>
        <w:numId w:val="3"/>
      </w:numPr>
      <w:spacing w:line="276" w:lineRule="auto"/>
    </w:pPr>
    <w:rPr>
      <w:rFonts w:ascii="MetaOT-Book" w:hAnsi="MetaOT-Book"/>
      <w:snapToGrid w:val="0"/>
      <w:szCs w:val="24"/>
    </w:rPr>
  </w:style>
  <w:style w:type="table" w:styleId="TableGrid">
    <w:name w:val="Table Grid"/>
    <w:basedOn w:val="TableNormal"/>
    <w:semiHidden/>
    <w:rsid w:val="007370D3"/>
    <w:rPr>
      <w:rFonts w:ascii="Arial" w:hAnsi="Arial"/>
    </w:rPr>
    <w:tblPr/>
    <w:trPr>
      <w:cantSplit/>
      <w:tblHeader/>
    </w:trPr>
  </w:style>
  <w:style w:type="paragraph" w:styleId="TOC2">
    <w:name w:val="toc 2"/>
    <w:basedOn w:val="Normal"/>
    <w:next w:val="Normal"/>
    <w:autoRedefine/>
    <w:semiHidden/>
    <w:rsid w:val="007370D3"/>
    <w:pPr>
      <w:tabs>
        <w:tab w:val="left" w:pos="1134"/>
        <w:tab w:val="right" w:leader="dot" w:pos="8222"/>
      </w:tabs>
      <w:ind w:left="567"/>
    </w:pPr>
    <w:rPr>
      <w:noProof/>
    </w:rPr>
  </w:style>
  <w:style w:type="paragraph" w:customStyle="1" w:styleId="TableBullet">
    <w:name w:val="Table Bullet"/>
    <w:basedOn w:val="Normal"/>
    <w:link w:val="TableBulletCharChar"/>
    <w:rsid w:val="004B0F1E"/>
    <w:pPr>
      <w:numPr>
        <w:numId w:val="21"/>
      </w:numPr>
      <w:spacing w:after="20"/>
    </w:pPr>
    <w:rPr>
      <w:rFonts w:eastAsia="MS Mincho"/>
      <w:sz w:val="18"/>
      <w:lang w:eastAsia="en-US"/>
    </w:rPr>
  </w:style>
  <w:style w:type="paragraph" w:customStyle="1" w:styleId="TableTextCentre">
    <w:name w:val="Table Text Centre"/>
    <w:basedOn w:val="TableTextLeft"/>
    <w:rsid w:val="007370D3"/>
    <w:pPr>
      <w:jc w:val="center"/>
    </w:pPr>
    <w:rPr>
      <w:lang w:val="en-NZ"/>
    </w:rPr>
  </w:style>
  <w:style w:type="paragraph" w:customStyle="1" w:styleId="TableTextLeft">
    <w:name w:val="Table Text Left"/>
    <w:basedOn w:val="Normal"/>
    <w:link w:val="TableTextLeftCharChar"/>
    <w:rsid w:val="007370D3"/>
    <w:rPr>
      <w:rFonts w:eastAsia="MS Mincho"/>
      <w:sz w:val="18"/>
      <w:lang w:eastAsia="en-US"/>
    </w:rPr>
  </w:style>
  <w:style w:type="character" w:styleId="Hyperlink">
    <w:name w:val="Hyperlink"/>
    <w:rsid w:val="007370D3"/>
    <w:rPr>
      <w:color w:val="0000FF"/>
      <w:u w:val="single"/>
    </w:rPr>
  </w:style>
  <w:style w:type="numbering" w:styleId="111111">
    <w:name w:val="Outline List 2"/>
    <w:basedOn w:val="NoList"/>
    <w:semiHidden/>
    <w:rsid w:val="007370D3"/>
    <w:pPr>
      <w:numPr>
        <w:numId w:val="4"/>
      </w:numPr>
    </w:pPr>
  </w:style>
  <w:style w:type="paragraph" w:customStyle="1" w:styleId="NoHeading3">
    <w:name w:val="No. Heading 3"/>
    <w:basedOn w:val="Heading3"/>
    <w:semiHidden/>
    <w:rsid w:val="007370D3"/>
    <w:pPr>
      <w:numPr>
        <w:numId w:val="18"/>
      </w:numPr>
    </w:pPr>
  </w:style>
  <w:style w:type="paragraph" w:styleId="TOC1">
    <w:name w:val="toc 1"/>
    <w:basedOn w:val="Normal"/>
    <w:next w:val="Normal"/>
    <w:autoRedefine/>
    <w:semiHidden/>
    <w:rsid w:val="007370D3"/>
    <w:pPr>
      <w:tabs>
        <w:tab w:val="left" w:pos="567"/>
        <w:tab w:val="right" w:leader="dot" w:pos="8222"/>
      </w:tabs>
      <w:spacing w:before="120"/>
    </w:pPr>
    <w:rPr>
      <w:noProof/>
      <w:sz w:val="24"/>
    </w:rPr>
  </w:style>
  <w:style w:type="character" w:customStyle="1" w:styleId="Date1">
    <w:name w:val="Date1"/>
    <w:basedOn w:val="DefaultParagraphFont"/>
    <w:semiHidden/>
    <w:rsid w:val="007370D3"/>
  </w:style>
  <w:style w:type="paragraph" w:customStyle="1" w:styleId="Heading">
    <w:name w:val="Heading"/>
    <w:basedOn w:val="Normal"/>
    <w:next w:val="BodyText"/>
    <w:semiHidden/>
    <w:qFormat/>
    <w:rsid w:val="007370D3"/>
    <w:pPr>
      <w:pageBreakBefore/>
      <w:spacing w:before="200" w:after="200"/>
    </w:pPr>
    <w:rPr>
      <w:b/>
      <w:color w:val="003058"/>
      <w:sz w:val="40"/>
      <w:szCs w:val="36"/>
    </w:rPr>
  </w:style>
  <w:style w:type="paragraph" w:customStyle="1" w:styleId="AppendixHeading3">
    <w:name w:val="Appendix Heading 3"/>
    <w:basedOn w:val="Normal"/>
    <w:next w:val="BodyText"/>
    <w:semiHidden/>
    <w:rsid w:val="007370D3"/>
    <w:pPr>
      <w:spacing w:before="240" w:after="120"/>
    </w:pPr>
    <w:rPr>
      <w:rFonts w:ascii="Arial Bold" w:hAnsi="Arial Bold"/>
      <w:b/>
      <w:sz w:val="24"/>
    </w:rPr>
  </w:style>
  <w:style w:type="paragraph" w:customStyle="1" w:styleId="Blockquotation">
    <w:name w:val="Block quotation"/>
    <w:basedOn w:val="BodyText"/>
    <w:semiHidden/>
    <w:qFormat/>
    <w:rsid w:val="007370D3"/>
    <w:pPr>
      <w:spacing w:before="120" w:after="100" w:line="276" w:lineRule="auto"/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basedOn w:val="Normal"/>
    <w:link w:val="ListNumberChar"/>
    <w:rsid w:val="007370D3"/>
    <w:pPr>
      <w:numPr>
        <w:ilvl w:val="5"/>
        <w:numId w:val="18"/>
      </w:numPr>
      <w:spacing w:line="276" w:lineRule="auto"/>
    </w:pPr>
    <w:rPr>
      <w:color w:val="000000"/>
    </w:rPr>
  </w:style>
  <w:style w:type="table" w:customStyle="1" w:styleId="GreenAlternatingTable">
    <w:name w:val="Green Alternating Table"/>
    <w:basedOn w:val="TableNormal"/>
    <w:semiHidden/>
    <w:rsid w:val="007370D3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78BA2E"/>
      </w:tcPr>
    </w:tblStylePr>
    <w:tblStylePr w:type="band2Horz">
      <w:rPr>
        <w:rFonts w:ascii="Arial" w:hAnsi="Arial"/>
      </w:rPr>
      <w:tblPr/>
      <w:tcPr>
        <w:shd w:val="clear" w:color="auto" w:fill="CBEAA8"/>
      </w:tcPr>
    </w:tblStylePr>
  </w:style>
  <w:style w:type="paragraph" w:customStyle="1" w:styleId="SectionHeading">
    <w:name w:val="Section Heading"/>
    <w:basedOn w:val="Normal"/>
    <w:semiHidden/>
    <w:rsid w:val="007370D3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semiHidden/>
    <w:rsid w:val="007370D3"/>
    <w:rPr>
      <w:rFonts w:ascii="Arial" w:hAnsi="Arial"/>
      <w:b/>
      <w:sz w:val="20"/>
    </w:rPr>
  </w:style>
  <w:style w:type="character" w:customStyle="1" w:styleId="BodyTextItalics">
    <w:name w:val="Body Text Italics"/>
    <w:semiHidden/>
    <w:rsid w:val="007370D3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7370D3"/>
    <w:rPr>
      <w:b/>
    </w:rPr>
  </w:style>
  <w:style w:type="paragraph" w:styleId="TOC3">
    <w:name w:val="toc 3"/>
    <w:basedOn w:val="Normal"/>
    <w:next w:val="Normal"/>
    <w:autoRedefine/>
    <w:semiHidden/>
    <w:rsid w:val="007370D3"/>
    <w:pPr>
      <w:tabs>
        <w:tab w:val="left" w:pos="1701"/>
        <w:tab w:val="right" w:leader="dot" w:pos="8222"/>
      </w:tabs>
      <w:ind w:left="1134"/>
    </w:pPr>
    <w:rPr>
      <w:noProof/>
    </w:rPr>
  </w:style>
  <w:style w:type="paragraph" w:styleId="BodyText3">
    <w:name w:val="Body Text 3"/>
    <w:basedOn w:val="Normal"/>
    <w:semiHidden/>
    <w:rsid w:val="007370D3"/>
    <w:pPr>
      <w:spacing w:after="120"/>
    </w:pPr>
  </w:style>
  <w:style w:type="table" w:customStyle="1" w:styleId="GreyTable">
    <w:name w:val="Grey Table"/>
    <w:basedOn w:val="TableNormal"/>
    <w:semiHidden/>
    <w:rsid w:val="007370D3"/>
    <w:rPr>
      <w:rFonts w:ascii="Arial" w:hAnsi="Arial"/>
    </w:rPr>
    <w:tblPr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rPr>
        <w:b w:val="0"/>
      </w:rPr>
      <w:tblPr/>
      <w:trPr>
        <w:tblHeader/>
      </w:trPr>
      <w:tcPr>
        <w:shd w:val="clear" w:color="auto" w:fill="E6E6E6"/>
      </w:tcPr>
    </w:tblStylePr>
  </w:style>
  <w:style w:type="paragraph" w:customStyle="1" w:styleId="text">
    <w:name w:val="text"/>
    <w:next w:val="Normal"/>
    <w:autoRedefine/>
    <w:semiHidden/>
    <w:rsid w:val="007370D3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Subtitle"/>
    <w:link w:val="TitleChar"/>
    <w:qFormat/>
    <w:rsid w:val="007370D3"/>
    <w:pPr>
      <w:spacing w:after="480"/>
    </w:pPr>
    <w:rPr>
      <w:b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7370D3"/>
  </w:style>
  <w:style w:type="character" w:customStyle="1" w:styleId="DocTitle">
    <w:name w:val="DocTitle"/>
    <w:basedOn w:val="DefaultParagraphFont"/>
    <w:semiHidden/>
    <w:rsid w:val="007370D3"/>
  </w:style>
  <w:style w:type="paragraph" w:customStyle="1" w:styleId="AppendixHeading2">
    <w:name w:val="Appendix Heading 2"/>
    <w:basedOn w:val="Normal"/>
    <w:next w:val="BodyText"/>
    <w:semiHidden/>
    <w:rsid w:val="007370D3"/>
    <w:pPr>
      <w:spacing w:before="280" w:after="140"/>
    </w:pPr>
    <w:rPr>
      <w:b/>
      <w:sz w:val="28"/>
    </w:rPr>
  </w:style>
  <w:style w:type="character" w:customStyle="1" w:styleId="DocSubTitle">
    <w:name w:val="DocSubTitle"/>
    <w:basedOn w:val="DefaultParagraphFont"/>
    <w:semiHidden/>
    <w:rsid w:val="007370D3"/>
  </w:style>
  <w:style w:type="paragraph" w:styleId="ListParagraph">
    <w:name w:val="List Paragraph"/>
    <w:basedOn w:val="BodyText"/>
    <w:qFormat/>
    <w:rsid w:val="007370D3"/>
    <w:pPr>
      <w:numPr>
        <w:numId w:val="17"/>
      </w:numPr>
      <w:spacing w:before="120" w:line="276" w:lineRule="auto"/>
    </w:pPr>
    <w:rPr>
      <w:sz w:val="20"/>
    </w:rPr>
  </w:style>
  <w:style w:type="paragraph" w:customStyle="1" w:styleId="TableHeadingCentre-Black">
    <w:name w:val="Table Heading Centre - Black"/>
    <w:basedOn w:val="Normal"/>
    <w:rsid w:val="007370D3"/>
    <w:pPr>
      <w:spacing w:after="40"/>
      <w:jc w:val="center"/>
    </w:pPr>
    <w:rPr>
      <w:rFonts w:eastAsia="MS Mincho"/>
      <w:b/>
      <w:lang w:val="en-NZ" w:eastAsia="en-US"/>
    </w:rPr>
  </w:style>
  <w:style w:type="paragraph" w:customStyle="1" w:styleId="TableTitle">
    <w:name w:val="Table Title"/>
    <w:basedOn w:val="Heading5"/>
    <w:semiHidden/>
    <w:rsid w:val="007370D3"/>
    <w:pPr>
      <w:numPr>
        <w:numId w:val="17"/>
      </w:numPr>
    </w:pPr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7370D3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customStyle="1" w:styleId="TableHeadingLeft-Grey">
    <w:name w:val="Table Heading Left - Grey"/>
    <w:basedOn w:val="Normal"/>
    <w:rsid w:val="007370D3"/>
    <w:pPr>
      <w:spacing w:after="40"/>
    </w:pPr>
    <w:rPr>
      <w:rFonts w:eastAsia="MS Mincho"/>
      <w:b/>
      <w:color w:val="333333"/>
      <w:sz w:val="18"/>
      <w:lang w:eastAsia="en-US"/>
    </w:rPr>
  </w:style>
  <w:style w:type="paragraph" w:customStyle="1" w:styleId="TableListNumber">
    <w:name w:val="Table List Number"/>
    <w:basedOn w:val="Normal"/>
    <w:semiHidden/>
    <w:rsid w:val="007370D3"/>
    <w:pPr>
      <w:numPr>
        <w:numId w:val="16"/>
      </w:numPr>
      <w:spacing w:after="40"/>
    </w:pPr>
    <w:rPr>
      <w:rFonts w:eastAsia="MS Mincho"/>
      <w:sz w:val="18"/>
      <w:lang w:eastAsia="en-US"/>
    </w:rPr>
  </w:style>
  <w:style w:type="paragraph" w:customStyle="1" w:styleId="TableListLetter">
    <w:name w:val="Table List Letter"/>
    <w:basedOn w:val="Normal"/>
    <w:semiHidden/>
    <w:rsid w:val="007370D3"/>
    <w:pPr>
      <w:numPr>
        <w:numId w:val="15"/>
      </w:numPr>
      <w:spacing w:after="40"/>
    </w:pPr>
    <w:rPr>
      <w:rFonts w:eastAsia="MS Mincho"/>
      <w:sz w:val="18"/>
      <w:lang w:eastAsia="en-US"/>
    </w:rPr>
  </w:style>
  <w:style w:type="table" w:customStyle="1" w:styleId="Table-Standard1">
    <w:name w:val="Table-Standard1"/>
    <w:basedOn w:val="TableNormal"/>
    <w:semiHidden/>
    <w:rsid w:val="007370D3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paragraph" w:customStyle="1" w:styleId="ProjectName">
    <w:name w:val="Project Name"/>
    <w:semiHidden/>
    <w:rsid w:val="007370D3"/>
    <w:rPr>
      <w:rFonts w:ascii="Arial" w:hAnsi="Arial" w:cs="Arial"/>
      <w:color w:val="009FDA"/>
      <w:sz w:val="48"/>
      <w:szCs w:val="24"/>
    </w:rPr>
  </w:style>
  <w:style w:type="paragraph" w:styleId="Subtitle">
    <w:name w:val="Subtitle"/>
    <w:qFormat/>
    <w:rsid w:val="007370D3"/>
    <w:pPr>
      <w:spacing w:after="960"/>
      <w:outlineLvl w:val="1"/>
    </w:pPr>
    <w:rPr>
      <w:rFonts w:ascii="Arial" w:hAnsi="Arial" w:cs="Arial"/>
      <w:color w:val="FFFFFF"/>
      <w:sz w:val="40"/>
      <w:szCs w:val="24"/>
    </w:rPr>
  </w:style>
  <w:style w:type="paragraph" w:customStyle="1" w:styleId="TableHeadingLeft-White">
    <w:name w:val="Table Heading Left - White"/>
    <w:basedOn w:val="TableHeadingLeft-Grey"/>
    <w:rsid w:val="007370D3"/>
    <w:rPr>
      <w:color w:val="FFFFFF"/>
      <w:lang w:val="en-NZ"/>
    </w:rPr>
  </w:style>
  <w:style w:type="character" w:customStyle="1" w:styleId="DocDate">
    <w:name w:val="DocDate"/>
    <w:basedOn w:val="DefaultParagraphFont"/>
    <w:semiHidden/>
    <w:rsid w:val="007370D3"/>
  </w:style>
  <w:style w:type="numbering" w:styleId="1ai">
    <w:name w:val="Outline List 1"/>
    <w:basedOn w:val="NoList"/>
    <w:semiHidden/>
    <w:rsid w:val="007370D3"/>
    <w:pPr>
      <w:numPr>
        <w:numId w:val="5"/>
      </w:numPr>
    </w:pPr>
  </w:style>
  <w:style w:type="numbering" w:styleId="ArticleSection">
    <w:name w:val="Outline List 3"/>
    <w:basedOn w:val="NoList"/>
    <w:semiHidden/>
    <w:rsid w:val="007370D3"/>
    <w:pPr>
      <w:numPr>
        <w:numId w:val="6"/>
      </w:numPr>
    </w:pPr>
  </w:style>
  <w:style w:type="paragraph" w:styleId="BlockText">
    <w:name w:val="Block Text"/>
    <w:basedOn w:val="Normal"/>
    <w:semiHidden/>
    <w:rsid w:val="007370D3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7370D3"/>
    <w:pPr>
      <w:spacing w:before="120" w:after="100"/>
      <w:ind w:firstLine="210"/>
    </w:pPr>
  </w:style>
  <w:style w:type="paragraph" w:styleId="BodyTextIndent">
    <w:name w:val="Body Text Indent"/>
    <w:basedOn w:val="Normal"/>
    <w:semiHidden/>
    <w:rsid w:val="007370D3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7370D3"/>
    <w:pPr>
      <w:ind w:firstLine="210"/>
    </w:pPr>
  </w:style>
  <w:style w:type="paragraph" w:styleId="BodyTextIndent2">
    <w:name w:val="Body Text Indent 2"/>
    <w:basedOn w:val="Normal"/>
    <w:semiHidden/>
    <w:rsid w:val="007370D3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370D3"/>
    <w:pPr>
      <w:spacing w:after="120"/>
      <w:ind w:left="283"/>
    </w:pPr>
  </w:style>
  <w:style w:type="paragraph" w:styleId="Caption">
    <w:name w:val="caption"/>
    <w:basedOn w:val="Normal"/>
    <w:next w:val="BodyText"/>
    <w:qFormat/>
    <w:rsid w:val="007370D3"/>
    <w:pPr>
      <w:spacing w:after="240"/>
    </w:pPr>
    <w:rPr>
      <w:b/>
      <w:bCs w:val="0"/>
      <w:szCs w:val="20"/>
    </w:rPr>
  </w:style>
  <w:style w:type="paragraph" w:styleId="Closing">
    <w:name w:val="Closing"/>
    <w:basedOn w:val="Normal"/>
    <w:semiHidden/>
    <w:rsid w:val="007370D3"/>
    <w:pPr>
      <w:ind w:left="4252"/>
    </w:pPr>
  </w:style>
  <w:style w:type="paragraph" w:styleId="Date">
    <w:name w:val="Date"/>
    <w:basedOn w:val="Normal"/>
    <w:next w:val="Normal"/>
    <w:semiHidden/>
    <w:rsid w:val="007370D3"/>
  </w:style>
  <w:style w:type="paragraph" w:styleId="E-mailSignature">
    <w:name w:val="E-mail Signature"/>
    <w:basedOn w:val="Normal"/>
    <w:semiHidden/>
    <w:rsid w:val="007370D3"/>
  </w:style>
  <w:style w:type="character" w:styleId="Emphasis">
    <w:name w:val="Emphasis"/>
    <w:qFormat/>
    <w:rsid w:val="007370D3"/>
    <w:rPr>
      <w:i/>
      <w:iCs/>
    </w:rPr>
  </w:style>
  <w:style w:type="paragraph" w:styleId="EnvelopeAddress">
    <w:name w:val="envelope address"/>
    <w:basedOn w:val="Normal"/>
    <w:semiHidden/>
    <w:rsid w:val="007370D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sid w:val="007370D3"/>
    <w:rPr>
      <w:szCs w:val="20"/>
    </w:rPr>
  </w:style>
  <w:style w:type="character" w:styleId="FollowedHyperlink">
    <w:name w:val="FollowedHyperlink"/>
    <w:semiHidden/>
    <w:rsid w:val="007370D3"/>
    <w:rPr>
      <w:color w:val="800080"/>
      <w:u w:val="single"/>
    </w:rPr>
  </w:style>
  <w:style w:type="character" w:styleId="HTMLAcronym">
    <w:name w:val="HTML Acronym"/>
    <w:basedOn w:val="DefaultParagraphFont"/>
    <w:semiHidden/>
    <w:rsid w:val="007370D3"/>
  </w:style>
  <w:style w:type="paragraph" w:styleId="HTMLAddress">
    <w:name w:val="HTML Address"/>
    <w:basedOn w:val="Normal"/>
    <w:semiHidden/>
    <w:rsid w:val="007370D3"/>
    <w:rPr>
      <w:i/>
      <w:iCs/>
    </w:rPr>
  </w:style>
  <w:style w:type="character" w:styleId="HTMLCite">
    <w:name w:val="HTML Cite"/>
    <w:semiHidden/>
    <w:rsid w:val="007370D3"/>
    <w:rPr>
      <w:i/>
      <w:iCs/>
    </w:rPr>
  </w:style>
  <w:style w:type="character" w:styleId="HTMLCode">
    <w:name w:val="HTML Code"/>
    <w:semiHidden/>
    <w:rsid w:val="007370D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370D3"/>
    <w:rPr>
      <w:i/>
      <w:iCs/>
    </w:rPr>
  </w:style>
  <w:style w:type="character" w:styleId="HTMLKeyboard">
    <w:name w:val="HTML Keyboard"/>
    <w:semiHidden/>
    <w:rsid w:val="007370D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7370D3"/>
    <w:rPr>
      <w:rFonts w:ascii="Courier New" w:hAnsi="Courier New" w:cs="Courier New"/>
      <w:szCs w:val="20"/>
    </w:rPr>
  </w:style>
  <w:style w:type="character" w:styleId="HTMLSample">
    <w:name w:val="HTML Sample"/>
    <w:semiHidden/>
    <w:rsid w:val="007370D3"/>
    <w:rPr>
      <w:rFonts w:ascii="Courier New" w:hAnsi="Courier New" w:cs="Courier New"/>
    </w:rPr>
  </w:style>
  <w:style w:type="character" w:styleId="HTMLTypewriter">
    <w:name w:val="HTML Typewriter"/>
    <w:semiHidden/>
    <w:rsid w:val="007370D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370D3"/>
    <w:rPr>
      <w:i/>
      <w:iCs/>
    </w:rPr>
  </w:style>
  <w:style w:type="character" w:styleId="LineNumber">
    <w:name w:val="line number"/>
    <w:basedOn w:val="DefaultParagraphFont"/>
    <w:semiHidden/>
    <w:rsid w:val="007370D3"/>
  </w:style>
  <w:style w:type="paragraph" w:styleId="List">
    <w:name w:val="List"/>
    <w:basedOn w:val="Normal"/>
    <w:semiHidden/>
    <w:rsid w:val="007370D3"/>
    <w:pPr>
      <w:ind w:left="283" w:hanging="283"/>
    </w:pPr>
  </w:style>
  <w:style w:type="paragraph" w:styleId="List2">
    <w:name w:val="List 2"/>
    <w:basedOn w:val="Normal"/>
    <w:semiHidden/>
    <w:rsid w:val="007370D3"/>
    <w:pPr>
      <w:ind w:left="566" w:hanging="283"/>
    </w:pPr>
  </w:style>
  <w:style w:type="paragraph" w:styleId="List3">
    <w:name w:val="List 3"/>
    <w:basedOn w:val="Normal"/>
    <w:semiHidden/>
    <w:rsid w:val="007370D3"/>
    <w:pPr>
      <w:ind w:left="849" w:hanging="283"/>
    </w:pPr>
  </w:style>
  <w:style w:type="paragraph" w:styleId="List4">
    <w:name w:val="List 4"/>
    <w:basedOn w:val="Normal"/>
    <w:semiHidden/>
    <w:rsid w:val="007370D3"/>
    <w:pPr>
      <w:ind w:left="1132" w:hanging="283"/>
    </w:pPr>
  </w:style>
  <w:style w:type="paragraph" w:styleId="List5">
    <w:name w:val="List 5"/>
    <w:basedOn w:val="Normal"/>
    <w:semiHidden/>
    <w:rsid w:val="007370D3"/>
    <w:pPr>
      <w:ind w:left="1415" w:hanging="283"/>
    </w:pPr>
  </w:style>
  <w:style w:type="paragraph" w:styleId="ListBullet2">
    <w:name w:val="List Bullet 2"/>
    <w:basedOn w:val="Normal"/>
    <w:semiHidden/>
    <w:rsid w:val="007370D3"/>
    <w:pPr>
      <w:numPr>
        <w:numId w:val="7"/>
      </w:numPr>
    </w:pPr>
  </w:style>
  <w:style w:type="paragraph" w:styleId="ListBullet3">
    <w:name w:val="List Bullet 3"/>
    <w:basedOn w:val="Normal"/>
    <w:semiHidden/>
    <w:rsid w:val="007370D3"/>
    <w:pPr>
      <w:numPr>
        <w:numId w:val="8"/>
      </w:numPr>
    </w:pPr>
  </w:style>
  <w:style w:type="paragraph" w:styleId="ListBullet4">
    <w:name w:val="List Bullet 4"/>
    <w:basedOn w:val="Normal"/>
    <w:semiHidden/>
    <w:rsid w:val="007370D3"/>
    <w:pPr>
      <w:numPr>
        <w:numId w:val="9"/>
      </w:numPr>
    </w:pPr>
  </w:style>
  <w:style w:type="paragraph" w:styleId="ListBullet5">
    <w:name w:val="List Bullet 5"/>
    <w:basedOn w:val="Normal"/>
    <w:semiHidden/>
    <w:rsid w:val="007370D3"/>
    <w:pPr>
      <w:numPr>
        <w:numId w:val="10"/>
      </w:numPr>
    </w:pPr>
  </w:style>
  <w:style w:type="paragraph" w:styleId="ListContinue">
    <w:name w:val="List Continue"/>
    <w:basedOn w:val="Normal"/>
    <w:semiHidden/>
    <w:rsid w:val="007370D3"/>
    <w:pPr>
      <w:spacing w:after="120"/>
      <w:ind w:left="283"/>
    </w:pPr>
  </w:style>
  <w:style w:type="paragraph" w:styleId="ListContinue2">
    <w:name w:val="List Continue 2"/>
    <w:basedOn w:val="Normal"/>
    <w:semiHidden/>
    <w:rsid w:val="007370D3"/>
    <w:pPr>
      <w:spacing w:after="120"/>
      <w:ind w:left="566"/>
    </w:pPr>
  </w:style>
  <w:style w:type="paragraph" w:styleId="ListContinue3">
    <w:name w:val="List Continue 3"/>
    <w:basedOn w:val="Normal"/>
    <w:semiHidden/>
    <w:rsid w:val="007370D3"/>
    <w:pPr>
      <w:spacing w:after="120"/>
      <w:ind w:left="849"/>
    </w:pPr>
  </w:style>
  <w:style w:type="paragraph" w:styleId="ListContinue4">
    <w:name w:val="List Continue 4"/>
    <w:basedOn w:val="Normal"/>
    <w:semiHidden/>
    <w:rsid w:val="007370D3"/>
    <w:pPr>
      <w:spacing w:after="120"/>
      <w:ind w:left="1132"/>
    </w:pPr>
  </w:style>
  <w:style w:type="paragraph" w:styleId="ListContinue5">
    <w:name w:val="List Continue 5"/>
    <w:basedOn w:val="Normal"/>
    <w:semiHidden/>
    <w:rsid w:val="007370D3"/>
    <w:pPr>
      <w:spacing w:after="120"/>
      <w:ind w:left="1415"/>
    </w:pPr>
  </w:style>
  <w:style w:type="paragraph" w:styleId="ListNumber2">
    <w:name w:val="List Number 2"/>
    <w:basedOn w:val="Normal"/>
    <w:semiHidden/>
    <w:rsid w:val="007370D3"/>
    <w:pPr>
      <w:numPr>
        <w:numId w:val="11"/>
      </w:numPr>
    </w:pPr>
  </w:style>
  <w:style w:type="paragraph" w:styleId="ListNumber3">
    <w:name w:val="List Number 3"/>
    <w:basedOn w:val="Normal"/>
    <w:semiHidden/>
    <w:rsid w:val="007370D3"/>
    <w:pPr>
      <w:numPr>
        <w:numId w:val="12"/>
      </w:numPr>
    </w:pPr>
  </w:style>
  <w:style w:type="paragraph" w:styleId="ListNumber4">
    <w:name w:val="List Number 4"/>
    <w:basedOn w:val="Normal"/>
    <w:semiHidden/>
    <w:rsid w:val="007370D3"/>
    <w:pPr>
      <w:numPr>
        <w:numId w:val="13"/>
      </w:numPr>
    </w:pPr>
  </w:style>
  <w:style w:type="paragraph" w:styleId="ListNumber5">
    <w:name w:val="List Number 5"/>
    <w:basedOn w:val="Normal"/>
    <w:semiHidden/>
    <w:rsid w:val="007370D3"/>
    <w:pPr>
      <w:numPr>
        <w:numId w:val="14"/>
      </w:numPr>
    </w:pPr>
  </w:style>
  <w:style w:type="paragraph" w:styleId="MessageHeader">
    <w:name w:val="Message Header"/>
    <w:basedOn w:val="Normal"/>
    <w:semiHidden/>
    <w:rsid w:val="007370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Web">
    <w:name w:val="Normal (Web)"/>
    <w:basedOn w:val="Normal"/>
    <w:semiHidden/>
    <w:rsid w:val="007370D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7370D3"/>
    <w:pPr>
      <w:ind w:left="720"/>
    </w:pPr>
  </w:style>
  <w:style w:type="paragraph" w:styleId="NoteHeading">
    <w:name w:val="Note Heading"/>
    <w:basedOn w:val="Normal"/>
    <w:next w:val="Normal"/>
    <w:semiHidden/>
    <w:rsid w:val="007370D3"/>
  </w:style>
  <w:style w:type="paragraph" w:styleId="PlainText">
    <w:name w:val="Plain Text"/>
    <w:basedOn w:val="Normal"/>
    <w:semiHidden/>
    <w:rsid w:val="007370D3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7370D3"/>
  </w:style>
  <w:style w:type="paragraph" w:styleId="Signature">
    <w:name w:val="Signature"/>
    <w:basedOn w:val="Normal"/>
    <w:semiHidden/>
    <w:rsid w:val="007370D3"/>
    <w:pPr>
      <w:ind w:left="4252"/>
    </w:pPr>
  </w:style>
  <w:style w:type="character" w:styleId="Strong">
    <w:name w:val="Strong"/>
    <w:qFormat/>
    <w:rsid w:val="007370D3"/>
    <w:rPr>
      <w:b/>
      <w:bCs/>
    </w:rPr>
  </w:style>
  <w:style w:type="table" w:styleId="Table3Deffects1">
    <w:name w:val="Table 3D effects 1"/>
    <w:basedOn w:val="TableNormal"/>
    <w:semiHidden/>
    <w:rsid w:val="007370D3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370D3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370D3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370D3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370D3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370D3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370D3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370D3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370D3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370D3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370D3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370D3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370D3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370D3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370D3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370D3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370D3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370D3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370D3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semiHidden/>
    <w:rsid w:val="007370D3"/>
    <w:pPr>
      <w:numPr>
        <w:numId w:val="0"/>
      </w:numPr>
    </w:pPr>
    <w:rPr>
      <w:szCs w:val="24"/>
    </w:rPr>
  </w:style>
  <w:style w:type="paragraph" w:customStyle="1" w:styleId="FooterpageNumber">
    <w:name w:val="Footer page Number"/>
    <w:basedOn w:val="Footer"/>
    <w:rsid w:val="007370D3"/>
    <w:pPr>
      <w:tabs>
        <w:tab w:val="clear" w:pos="4153"/>
        <w:tab w:val="clear" w:pos="8306"/>
      </w:tabs>
      <w:jc w:val="right"/>
    </w:pPr>
    <w:rPr>
      <w:rFonts w:ascii="MetaOT-Book" w:hAnsi="MetaOT-Book"/>
      <w:color w:val="FFFFFF"/>
      <w:szCs w:val="18"/>
    </w:rPr>
  </w:style>
  <w:style w:type="paragraph" w:customStyle="1" w:styleId="NoHeading2">
    <w:name w:val="No. Heading 2"/>
    <w:basedOn w:val="Heading2"/>
    <w:next w:val="BodyText"/>
    <w:semiHidden/>
    <w:rsid w:val="007370D3"/>
    <w:pPr>
      <w:numPr>
        <w:numId w:val="18"/>
      </w:numPr>
    </w:pPr>
  </w:style>
  <w:style w:type="paragraph" w:customStyle="1" w:styleId="TableRef">
    <w:name w:val="Table Ref"/>
    <w:basedOn w:val="Normal"/>
    <w:next w:val="BodyText"/>
    <w:rsid w:val="007370D3"/>
    <w:pPr>
      <w:spacing w:before="120"/>
    </w:pPr>
    <w:rPr>
      <w:b/>
      <w:color w:val="333333"/>
      <w:szCs w:val="18"/>
    </w:rPr>
  </w:style>
  <w:style w:type="paragraph" w:customStyle="1" w:styleId="FigureRef">
    <w:name w:val="Figure Ref"/>
    <w:basedOn w:val="TableRef"/>
    <w:next w:val="BodyText"/>
    <w:rsid w:val="007370D3"/>
    <w:pPr>
      <w:numPr>
        <w:ilvl w:val="3"/>
        <w:numId w:val="18"/>
      </w:numPr>
    </w:pPr>
    <w:rPr>
      <w:color w:val="808080"/>
    </w:rPr>
  </w:style>
  <w:style w:type="paragraph" w:customStyle="1" w:styleId="Table-Figurenotes">
    <w:name w:val="Table-Figure notes"/>
    <w:basedOn w:val="BodyText"/>
    <w:rsid w:val="007370D3"/>
    <w:pPr>
      <w:spacing w:before="120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7370D3"/>
    <w:rPr>
      <w:color w:val="FFFFFF"/>
      <w:sz w:val="18"/>
    </w:rPr>
  </w:style>
  <w:style w:type="paragraph" w:styleId="TOC4">
    <w:name w:val="toc 4"/>
    <w:basedOn w:val="Normal"/>
    <w:next w:val="Normal"/>
    <w:autoRedefine/>
    <w:semiHidden/>
    <w:rsid w:val="007370D3"/>
    <w:pPr>
      <w:tabs>
        <w:tab w:val="left" w:pos="1134"/>
        <w:tab w:val="right" w:leader="dot" w:pos="8222"/>
      </w:tabs>
      <w:ind w:left="1134" w:hanging="1134"/>
    </w:pPr>
    <w:rPr>
      <w:noProof/>
    </w:rPr>
  </w:style>
  <w:style w:type="table" w:customStyle="1" w:styleId="GreenHorizontalTable">
    <w:name w:val="Green Horizontal Table"/>
    <w:basedOn w:val="TableNormal"/>
    <w:semiHidden/>
    <w:rsid w:val="007370D3"/>
    <w:rPr>
      <w:rFonts w:ascii="Arial" w:hAnsi="Arial"/>
    </w:rPr>
    <w:tblPr>
      <w:tblInd w:w="108" w:type="dxa"/>
      <w:tblBorders>
        <w:top w:val="single" w:sz="4" w:space="0" w:color="78BA2E"/>
        <w:bottom w:val="single" w:sz="4" w:space="0" w:color="78BA2E"/>
        <w:insideH w:val="single" w:sz="4" w:space="0" w:color="78BA2E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78BA2E"/>
      </w:tcPr>
    </w:tblStylePr>
  </w:style>
  <w:style w:type="table" w:customStyle="1" w:styleId="BlackTable">
    <w:name w:val="Black Table"/>
    <w:basedOn w:val="TableNormal"/>
    <w:semiHidden/>
    <w:rsid w:val="007370D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table" w:customStyle="1" w:styleId="GreyAlternatingTable">
    <w:name w:val="Grey Alternating Table"/>
    <w:basedOn w:val="TableNormal"/>
    <w:semiHidden/>
    <w:rsid w:val="007370D3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tblPr/>
      <w:trPr>
        <w:cantSplit w:val="0"/>
        <w:tblHeader/>
      </w:trPr>
      <w:tcPr>
        <w:shd w:val="clear" w:color="auto" w:fill="CCCCCC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E6E6E6"/>
      </w:tcPr>
    </w:tblStylePr>
  </w:style>
  <w:style w:type="paragraph" w:customStyle="1" w:styleId="BodyText-White">
    <w:name w:val="Body Text - White"/>
    <w:basedOn w:val="BodyText"/>
    <w:semiHidden/>
    <w:rsid w:val="007370D3"/>
    <w:pPr>
      <w:spacing w:before="120" w:after="100" w:line="276" w:lineRule="auto"/>
    </w:pPr>
    <w:rPr>
      <w:color w:val="FFFFFF"/>
      <w:sz w:val="20"/>
    </w:rPr>
  </w:style>
  <w:style w:type="character" w:customStyle="1" w:styleId="EndnoteNo">
    <w:name w:val="Endnote No."/>
    <w:semiHidden/>
    <w:rsid w:val="007370D3"/>
    <w:rPr>
      <w:vertAlign w:val="superscript"/>
    </w:rPr>
  </w:style>
  <w:style w:type="paragraph" w:styleId="EndnoteText">
    <w:name w:val="endnote text"/>
    <w:basedOn w:val="Normal"/>
    <w:semiHidden/>
    <w:rsid w:val="007370D3"/>
    <w:pPr>
      <w:tabs>
        <w:tab w:val="left" w:pos="567"/>
      </w:tabs>
      <w:spacing w:after="80"/>
    </w:pPr>
    <w:rPr>
      <w:szCs w:val="20"/>
    </w:rPr>
  </w:style>
  <w:style w:type="paragraph" w:customStyle="1" w:styleId="ImprintPageText">
    <w:name w:val="Imprint Page Text"/>
    <w:basedOn w:val="Normal"/>
    <w:semiHidden/>
    <w:rsid w:val="007370D3"/>
    <w:pPr>
      <w:spacing w:after="120" w:line="276" w:lineRule="auto"/>
    </w:pPr>
    <w:rPr>
      <w:color w:val="000000"/>
      <w:szCs w:val="18"/>
    </w:rPr>
  </w:style>
  <w:style w:type="character" w:customStyle="1" w:styleId="TableTextLeftCharChar">
    <w:name w:val="Table Text Left Char Char"/>
    <w:link w:val="TableTextLeft"/>
    <w:rsid w:val="007370D3"/>
    <w:rPr>
      <w:rFonts w:ascii="Arial" w:eastAsia="MS Mincho" w:hAnsi="Arial"/>
      <w:sz w:val="18"/>
      <w:szCs w:val="24"/>
      <w:lang w:val="en-AU" w:eastAsia="en-US" w:bidi="ar-SA"/>
    </w:rPr>
  </w:style>
  <w:style w:type="paragraph" w:customStyle="1" w:styleId="HeadingHidden">
    <w:name w:val="Heading Hidden"/>
    <w:basedOn w:val="Heading"/>
    <w:next w:val="BodyText"/>
    <w:semiHidden/>
    <w:rsid w:val="007370D3"/>
    <w:pPr>
      <w:pageBreakBefore w:val="0"/>
      <w:spacing w:before="400"/>
    </w:pPr>
  </w:style>
  <w:style w:type="character" w:customStyle="1" w:styleId="TitleChar">
    <w:name w:val="Title Char"/>
    <w:link w:val="Title"/>
    <w:rsid w:val="007370D3"/>
    <w:rPr>
      <w:rFonts w:ascii="MetaOT-Book" w:hAnsi="MetaOT-Book"/>
      <w:b/>
      <w:color w:val="FFFFFF"/>
      <w:sz w:val="48"/>
      <w:szCs w:val="52"/>
      <w:lang w:val="en-AU" w:eastAsia="en-US" w:bidi="ar-SA"/>
    </w:rPr>
  </w:style>
  <w:style w:type="paragraph" w:customStyle="1" w:styleId="Introsentence">
    <w:name w:val="Intro sentence"/>
    <w:basedOn w:val="Normal"/>
    <w:rsid w:val="007370D3"/>
    <w:rPr>
      <w:i/>
      <w:color w:val="78BA2E"/>
      <w:sz w:val="28"/>
      <w:szCs w:val="20"/>
    </w:rPr>
  </w:style>
  <w:style w:type="paragraph" w:customStyle="1" w:styleId="CoverDetail1">
    <w:name w:val="Cover Detail 1"/>
    <w:basedOn w:val="Heading3"/>
    <w:semiHidden/>
    <w:rsid w:val="007370D3"/>
    <w:pPr>
      <w:numPr>
        <w:numId w:val="17"/>
      </w:numPr>
    </w:pPr>
  </w:style>
  <w:style w:type="table" w:customStyle="1" w:styleId="NavyTable">
    <w:name w:val="Navy Table"/>
    <w:basedOn w:val="TableNormal"/>
    <w:semiHidden/>
    <w:rsid w:val="007370D3"/>
    <w:rPr>
      <w:rFonts w:ascii="Arial" w:hAnsi="Arial"/>
    </w:rPr>
    <w:tblPr>
      <w:tblInd w:w="108" w:type="dxa"/>
      <w:tblBorders>
        <w:bottom w:val="single" w:sz="4" w:space="0" w:color="003058"/>
        <w:insideH w:val="single" w:sz="4" w:space="0" w:color="003058"/>
      </w:tblBorders>
    </w:tblPr>
    <w:trPr>
      <w:cantSplit/>
    </w:trPr>
    <w:tblStylePr w:type="firstRow">
      <w:rPr>
        <w:b w:val="0"/>
      </w:rPr>
      <w:tblPr/>
      <w:tcPr>
        <w:shd w:val="clear" w:color="auto" w:fill="003058"/>
      </w:tcPr>
    </w:tblStylePr>
  </w:style>
  <w:style w:type="table" w:customStyle="1" w:styleId="NavyAlternatingTable">
    <w:name w:val="Navy Alternating Table"/>
    <w:basedOn w:val="TableNormal"/>
    <w:semiHidden/>
    <w:rsid w:val="007370D3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tblPr/>
      <w:tcPr>
        <w:shd w:val="clear" w:color="auto" w:fill="003058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D6D6E0"/>
      </w:tcPr>
    </w:tblStylePr>
  </w:style>
  <w:style w:type="table" w:customStyle="1" w:styleId="TableGrid10">
    <w:name w:val="Table Grid1"/>
    <w:basedOn w:val="TableNormal"/>
    <w:next w:val="TableGrid"/>
    <w:rsid w:val="007370D3"/>
    <w:rPr>
      <w:rFonts w:ascii="Arial" w:hAnsi="Arial"/>
    </w:rPr>
    <w:tblPr>
      <w:tblInd w:w="108" w:type="dxa"/>
    </w:tblPr>
    <w:trPr>
      <w:cantSplit/>
      <w:tblHeader/>
    </w:trPr>
  </w:style>
  <w:style w:type="character" w:styleId="PageNumber">
    <w:name w:val="page number"/>
    <w:basedOn w:val="DefaultParagraphFont"/>
    <w:rsid w:val="007370D3"/>
  </w:style>
  <w:style w:type="paragraph" w:customStyle="1" w:styleId="TabletextAOs">
    <w:name w:val="Table text AOs"/>
    <w:basedOn w:val="TableTextLeft"/>
    <w:link w:val="TabletextAOsChar"/>
    <w:rsid w:val="007370D3"/>
  </w:style>
  <w:style w:type="paragraph" w:styleId="TableofFigures">
    <w:name w:val="table of figures"/>
    <w:basedOn w:val="Normal"/>
    <w:next w:val="Normal"/>
    <w:semiHidden/>
    <w:rsid w:val="007370D3"/>
  </w:style>
  <w:style w:type="paragraph" w:customStyle="1" w:styleId="Tabletextnotes">
    <w:name w:val="Table text notes"/>
    <w:basedOn w:val="TabletextAOs"/>
    <w:next w:val="TableTextLeft"/>
    <w:link w:val="TabletextnotesChar"/>
    <w:rsid w:val="007370D3"/>
    <w:pPr>
      <w:spacing w:after="180"/>
    </w:pPr>
    <w:rPr>
      <w:sz w:val="16"/>
    </w:rPr>
  </w:style>
  <w:style w:type="character" w:customStyle="1" w:styleId="TabletextAOsChar">
    <w:name w:val="Table text AOs Char"/>
    <w:basedOn w:val="TableTextLeftCharChar"/>
    <w:link w:val="TabletextAOs"/>
    <w:rsid w:val="007370D3"/>
    <w:rPr>
      <w:rFonts w:ascii="Arial" w:eastAsia="MS Mincho" w:hAnsi="Arial"/>
      <w:sz w:val="18"/>
      <w:szCs w:val="24"/>
      <w:lang w:val="en-AU" w:eastAsia="en-US" w:bidi="ar-SA"/>
    </w:rPr>
  </w:style>
  <w:style w:type="paragraph" w:customStyle="1" w:styleId="Tabletextreferencedocument">
    <w:name w:val="Table text reference document"/>
    <w:basedOn w:val="TabletextAOs"/>
    <w:next w:val="TabletextAOs"/>
    <w:link w:val="TabletextreferencedocumentChar"/>
    <w:rsid w:val="007370D3"/>
    <w:rPr>
      <w:i/>
      <w:color w:val="002C58"/>
    </w:rPr>
  </w:style>
  <w:style w:type="character" w:customStyle="1" w:styleId="TabletextreferencedocumentChar">
    <w:name w:val="Table text reference document Char"/>
    <w:link w:val="Tabletextreferencedocument"/>
    <w:rsid w:val="007370D3"/>
    <w:rPr>
      <w:rFonts w:ascii="Arial" w:eastAsia="MS Mincho" w:hAnsi="Arial"/>
      <w:i/>
      <w:color w:val="002C58"/>
      <w:sz w:val="18"/>
      <w:szCs w:val="24"/>
      <w:lang w:val="en-AU" w:eastAsia="en-US" w:bidi="ar-SA"/>
    </w:rPr>
  </w:style>
  <w:style w:type="paragraph" w:styleId="FootnoteText">
    <w:name w:val="footnote text"/>
    <w:basedOn w:val="Normal"/>
    <w:rsid w:val="007370D3"/>
    <w:rPr>
      <w:szCs w:val="20"/>
    </w:rPr>
  </w:style>
  <w:style w:type="paragraph" w:customStyle="1" w:styleId="PSANormal">
    <w:name w:val="PSA Normal"/>
    <w:basedOn w:val="Normal"/>
    <w:link w:val="PSANormalChar"/>
    <w:rsid w:val="007370D3"/>
    <w:pPr>
      <w:suppressAutoHyphens/>
      <w:autoSpaceDN w:val="0"/>
      <w:spacing w:after="120"/>
      <w:textAlignment w:val="baseline"/>
    </w:pPr>
    <w:rPr>
      <w:rFonts w:ascii="Calibri" w:hAnsi="Calibri"/>
    </w:rPr>
  </w:style>
  <w:style w:type="character" w:customStyle="1" w:styleId="PSANormalChar">
    <w:name w:val="PSA Normal Char"/>
    <w:link w:val="PSANormal"/>
    <w:locked/>
    <w:rsid w:val="007370D3"/>
    <w:rPr>
      <w:rFonts w:ascii="Calibri" w:hAnsi="Calibri"/>
      <w:szCs w:val="24"/>
      <w:lang w:val="en-AU" w:eastAsia="en-AU" w:bidi="ar-SA"/>
    </w:rPr>
  </w:style>
  <w:style w:type="character" w:customStyle="1" w:styleId="TableBulletCharChar">
    <w:name w:val="Table Bullet Char Char"/>
    <w:link w:val="TableBullet"/>
    <w:rsid w:val="004B0F1E"/>
    <w:rPr>
      <w:rFonts w:ascii="Arial" w:eastAsia="MS Mincho" w:hAnsi="Arial"/>
      <w:b/>
      <w:bCs/>
      <w:sz w:val="18"/>
      <w:szCs w:val="22"/>
      <w:lang w:eastAsia="en-US"/>
    </w:rPr>
  </w:style>
  <w:style w:type="paragraph" w:styleId="BalloonText">
    <w:name w:val="Balloon Text"/>
    <w:basedOn w:val="Normal"/>
    <w:semiHidden/>
    <w:rsid w:val="007370D3"/>
    <w:rPr>
      <w:rFonts w:ascii="Tahoma" w:hAnsi="Tahoma" w:cs="Tahoma"/>
    </w:rPr>
  </w:style>
  <w:style w:type="character" w:styleId="CommentReference">
    <w:name w:val="annotation reference"/>
    <w:semiHidden/>
    <w:rsid w:val="007370D3"/>
    <w:rPr>
      <w:sz w:val="16"/>
      <w:szCs w:val="16"/>
    </w:rPr>
  </w:style>
  <w:style w:type="paragraph" w:styleId="CommentText">
    <w:name w:val="annotation text"/>
    <w:basedOn w:val="Normal"/>
    <w:semiHidden/>
    <w:rsid w:val="007370D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7370D3"/>
    <w:rPr>
      <w:b/>
      <w:bCs w:val="0"/>
    </w:rPr>
  </w:style>
  <w:style w:type="character" w:customStyle="1" w:styleId="Tabletextdefn">
    <w:name w:val="Table text defn"/>
    <w:basedOn w:val="TabletextAOsChar"/>
    <w:rsid w:val="007370D3"/>
    <w:rPr>
      <w:rFonts w:ascii="Arial" w:eastAsia="MS Mincho" w:hAnsi="Arial"/>
      <w:sz w:val="18"/>
      <w:szCs w:val="24"/>
      <w:u w:val="single"/>
      <w:lang w:val="en-AU" w:eastAsia="en-US" w:bidi="ar-SA"/>
    </w:rPr>
  </w:style>
  <w:style w:type="paragraph" w:customStyle="1" w:styleId="Bodytextdefn">
    <w:name w:val="Body text defn"/>
    <w:basedOn w:val="BodyText"/>
    <w:next w:val="BodyText"/>
    <w:qFormat/>
    <w:rsid w:val="007370D3"/>
    <w:pPr>
      <w:spacing w:before="120" w:after="100" w:line="276" w:lineRule="auto"/>
    </w:pPr>
    <w:rPr>
      <w:rFonts w:ascii="MetaOT-Book" w:hAnsi="MetaOT-Book"/>
      <w:sz w:val="20"/>
      <w:u w:val="single"/>
    </w:rPr>
  </w:style>
  <w:style w:type="paragraph" w:customStyle="1" w:styleId="tabletextnotesdefn">
    <w:name w:val="table text notes defn"/>
    <w:basedOn w:val="Tabletextnotes"/>
    <w:link w:val="tabletextnotesdefnChar"/>
    <w:rsid w:val="007370D3"/>
    <w:rPr>
      <w:u w:val="single"/>
    </w:rPr>
  </w:style>
  <w:style w:type="character" w:customStyle="1" w:styleId="TabletextnotesChar">
    <w:name w:val="Table text notes Char"/>
    <w:basedOn w:val="TabletextAOsChar"/>
    <w:link w:val="Tabletextnotes"/>
    <w:rsid w:val="007370D3"/>
    <w:rPr>
      <w:rFonts w:ascii="Arial" w:eastAsia="MS Mincho" w:hAnsi="Arial"/>
      <w:sz w:val="16"/>
      <w:szCs w:val="24"/>
      <w:lang w:val="en-AU" w:eastAsia="en-US" w:bidi="ar-SA"/>
    </w:rPr>
  </w:style>
  <w:style w:type="character" w:customStyle="1" w:styleId="tabletextnotesdefnChar">
    <w:name w:val="table text notes defn Char"/>
    <w:basedOn w:val="TabletextnotesChar"/>
    <w:link w:val="tabletextnotesdefn"/>
    <w:rsid w:val="007370D3"/>
    <w:rPr>
      <w:rFonts w:ascii="Arial" w:eastAsia="MS Mincho" w:hAnsi="Arial"/>
      <w:sz w:val="16"/>
      <w:szCs w:val="24"/>
      <w:u w:val="single"/>
      <w:lang w:val="en-AU" w:eastAsia="en-US" w:bidi="ar-SA"/>
    </w:rPr>
  </w:style>
  <w:style w:type="paragraph" w:customStyle="1" w:styleId="Glossarytext">
    <w:name w:val="Glossary text"/>
    <w:basedOn w:val="TabletextAOs"/>
    <w:link w:val="GlossarytextChar"/>
    <w:rsid w:val="007370D3"/>
    <w:pPr>
      <w:tabs>
        <w:tab w:val="left" w:pos="1978"/>
      </w:tabs>
      <w:spacing w:before="120"/>
    </w:pPr>
  </w:style>
  <w:style w:type="character" w:customStyle="1" w:styleId="BodyTextChar">
    <w:name w:val="Body Text Char"/>
    <w:basedOn w:val="DefaultParagraphFont"/>
    <w:link w:val="BodyText"/>
    <w:rsid w:val="007370D3"/>
    <w:rPr>
      <w:sz w:val="24"/>
      <w:szCs w:val="24"/>
      <w:lang w:val="en-AU" w:eastAsia="en-AU" w:bidi="ar-SA"/>
    </w:rPr>
  </w:style>
  <w:style w:type="character" w:customStyle="1" w:styleId="GlossarytextChar">
    <w:name w:val="Glossary text Char"/>
    <w:basedOn w:val="TabletextAOsChar"/>
    <w:link w:val="Glossarytext"/>
    <w:rsid w:val="007370D3"/>
    <w:rPr>
      <w:rFonts w:ascii="Arial" w:eastAsia="MS Mincho" w:hAnsi="Arial"/>
      <w:sz w:val="18"/>
      <w:szCs w:val="24"/>
      <w:lang w:val="en-AU" w:eastAsia="en-US" w:bidi="ar-SA"/>
    </w:rPr>
  </w:style>
  <w:style w:type="paragraph" w:customStyle="1" w:styleId="Tabletextnotesreference">
    <w:name w:val="Table text notes reference"/>
    <w:basedOn w:val="Tabletextnotes"/>
    <w:link w:val="TabletextnotesreferenceChar"/>
    <w:rsid w:val="007370D3"/>
    <w:rPr>
      <w:i/>
      <w:color w:val="002C58"/>
    </w:rPr>
  </w:style>
  <w:style w:type="character" w:customStyle="1" w:styleId="TabletextnotesreferenceChar">
    <w:name w:val="Table text notes reference Char"/>
    <w:basedOn w:val="TabletextnotesChar"/>
    <w:link w:val="Tabletextnotesreference"/>
    <w:rsid w:val="007370D3"/>
    <w:rPr>
      <w:rFonts w:ascii="Arial" w:eastAsia="MS Mincho" w:hAnsi="Arial"/>
      <w:i/>
      <w:color w:val="002C58"/>
      <w:sz w:val="16"/>
      <w:szCs w:val="24"/>
      <w:lang w:val="en-AU" w:eastAsia="en-US" w:bidi="ar-SA"/>
    </w:rPr>
  </w:style>
  <w:style w:type="character" w:customStyle="1" w:styleId="ListBulletChar">
    <w:name w:val="List Bullet Char"/>
    <w:basedOn w:val="DefaultParagraphFont"/>
    <w:link w:val="ListBullet"/>
    <w:rsid w:val="007370D3"/>
    <w:rPr>
      <w:rFonts w:ascii="MetaOT-Book" w:hAnsi="MetaOT-Book"/>
      <w:snapToGrid w:val="0"/>
      <w:szCs w:val="24"/>
    </w:rPr>
  </w:style>
  <w:style w:type="character" w:customStyle="1" w:styleId="ListNumberChar">
    <w:name w:val="List Number Char"/>
    <w:basedOn w:val="DefaultParagraphFont"/>
    <w:link w:val="ListNumber"/>
    <w:rsid w:val="007370D3"/>
    <w:rPr>
      <w:rFonts w:ascii="Arial" w:hAnsi="Arial"/>
      <w:b/>
      <w:bCs/>
      <w:color w:val="000000"/>
      <w:sz w:val="22"/>
      <w:szCs w:val="22"/>
    </w:rPr>
  </w:style>
  <w:style w:type="paragraph" w:customStyle="1" w:styleId="Glossarynumbering">
    <w:name w:val="Glossary numbering"/>
    <w:basedOn w:val="Glossarytext"/>
    <w:rsid w:val="007370D3"/>
    <w:pPr>
      <w:numPr>
        <w:numId w:val="19"/>
      </w:numPr>
      <w:ind w:left="0" w:firstLine="0"/>
    </w:pPr>
  </w:style>
  <w:style w:type="paragraph" w:customStyle="1" w:styleId="StyleTableRefLeft0cmFirstline0cm">
    <w:name w:val="Style Table Ref + Left:  0 cm First line:  0 cm"/>
    <w:basedOn w:val="TableRef"/>
    <w:rsid w:val="007370D3"/>
    <w:rPr>
      <w:bCs w:val="0"/>
      <w:szCs w:val="20"/>
    </w:rPr>
  </w:style>
  <w:style w:type="paragraph" w:customStyle="1" w:styleId="Tableextnoterefdoc">
    <w:name w:val="Table ext note ref doc"/>
    <w:basedOn w:val="Tabletextnotes"/>
    <w:rsid w:val="007370D3"/>
    <w:rPr>
      <w:i/>
      <w:color w:val="002C58"/>
    </w:rPr>
  </w:style>
  <w:style w:type="paragraph" w:customStyle="1" w:styleId="Tabletextnotebullet1">
    <w:name w:val="Table text note bullet 1"/>
    <w:basedOn w:val="Tabletextnotes"/>
    <w:rsid w:val="007370D3"/>
    <w:pPr>
      <w:numPr>
        <w:numId w:val="20"/>
      </w:numPr>
      <w:spacing w:before="0" w:after="0"/>
      <w:ind w:left="0" w:firstLine="0"/>
    </w:pPr>
  </w:style>
  <w:style w:type="paragraph" w:customStyle="1" w:styleId="StyleTableTextLeftBold">
    <w:name w:val="Style Table Text Left + Bold"/>
    <w:basedOn w:val="TableTextLeft"/>
    <w:rsid w:val="007370D3"/>
    <w:rPr>
      <w:b/>
      <w:bCs w:val="0"/>
    </w:rPr>
  </w:style>
  <w:style w:type="paragraph" w:styleId="Revision">
    <w:name w:val="Revision"/>
    <w:hidden/>
    <w:uiPriority w:val="99"/>
    <w:semiHidden/>
    <w:rsid w:val="001D4094"/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092F"/>
    <w:rPr>
      <w:rFonts w:ascii="Arial" w:hAnsi="Arial" w:cs="Arial"/>
      <w:sz w:val="16"/>
      <w:szCs w:val="16"/>
    </w:rPr>
  </w:style>
  <w:style w:type="paragraph" w:customStyle="1" w:styleId="Tabletextdefinition">
    <w:name w:val="Table text definition"/>
    <w:basedOn w:val="TabletextAOs"/>
    <w:next w:val="TabletextAOs"/>
    <w:link w:val="TabletextdefinitionChar"/>
    <w:rsid w:val="003B601B"/>
    <w:pPr>
      <w:spacing w:before="40" w:after="0"/>
    </w:pPr>
    <w:rPr>
      <w:rFonts w:ascii="MetaOT-Book" w:hAnsi="MetaOT-Book"/>
      <w:b/>
      <w:bCs w:val="0"/>
      <w:szCs w:val="24"/>
      <w:u w:val="single"/>
    </w:rPr>
  </w:style>
  <w:style w:type="character" w:customStyle="1" w:styleId="TabletextdefinitionChar">
    <w:name w:val="Table text definition Char"/>
    <w:link w:val="Tabletextdefinition"/>
    <w:rsid w:val="003B601B"/>
    <w:rPr>
      <w:rFonts w:ascii="MetaOT-Book" w:eastAsia="MS Mincho" w:hAnsi="MetaOT-Book"/>
      <w:sz w:val="18"/>
      <w:szCs w:val="24"/>
      <w:u w:val="single"/>
      <w:lang w:eastAsia="en-US"/>
    </w:rPr>
  </w:style>
  <w:style w:type="paragraph" w:customStyle="1" w:styleId="tablebullet2">
    <w:name w:val="table bullet 2"/>
    <w:basedOn w:val="TableBullet"/>
    <w:rsid w:val="003B601B"/>
    <w:pPr>
      <w:numPr>
        <w:numId w:val="22"/>
      </w:numPr>
      <w:spacing w:before="0"/>
    </w:pPr>
    <w:rPr>
      <w:rFonts w:ascii="MetaOT-Book" w:hAnsi="MetaOT-Book"/>
      <w:b/>
      <w:bCs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F9551-A4EB-49B1-A84D-ED4A1A78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code 21: Hazardous chemical facilities - response template</vt:lpstr>
    </vt:vector>
  </TitlesOfParts>
  <Company>Queensland Government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code 21: Hazardous chemical facilities - response template</dc:title>
  <dc:subject>Module 1.1 - Managing noise and vibration impacts from transport corridors state code</dc:subject>
  <dc:creator>Queensland Government</dc:creator>
  <cp:lastModifiedBy>Sarah Shumack</cp:lastModifiedBy>
  <cp:revision>3</cp:revision>
  <cp:lastPrinted>2013-06-14T00:06:00Z</cp:lastPrinted>
  <dcterms:created xsi:type="dcterms:W3CDTF">2019-10-10T23:40:00Z</dcterms:created>
  <dcterms:modified xsi:type="dcterms:W3CDTF">2020-01-22T22:57:00Z</dcterms:modified>
</cp:coreProperties>
</file>