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0A3" w:rsidRPr="00682EC4" w:rsidRDefault="0054092F" w:rsidP="0054092F">
      <w:pPr>
        <w:pStyle w:val="Heading2"/>
        <w:numPr>
          <w:ilvl w:val="0"/>
          <w:numId w:val="0"/>
        </w:numPr>
        <w:spacing w:before="60"/>
        <w:rPr>
          <w:color w:val="auto"/>
          <w:sz w:val="48"/>
          <w:szCs w:val="48"/>
        </w:rPr>
      </w:pPr>
      <w:bookmarkStart w:id="0" w:name="_GoBack"/>
      <w:bookmarkEnd w:id="0"/>
      <w:r w:rsidRPr="00682EC4">
        <w:rPr>
          <w:color w:val="auto"/>
          <w:sz w:val="48"/>
          <w:szCs w:val="48"/>
        </w:rPr>
        <w:t xml:space="preserve">State code </w:t>
      </w:r>
      <w:r w:rsidR="00E93DBA">
        <w:rPr>
          <w:color w:val="auto"/>
          <w:sz w:val="48"/>
          <w:szCs w:val="48"/>
        </w:rPr>
        <w:t>14</w:t>
      </w:r>
      <w:r w:rsidRPr="00682EC4">
        <w:rPr>
          <w:color w:val="auto"/>
          <w:sz w:val="48"/>
          <w:szCs w:val="48"/>
        </w:rPr>
        <w:t xml:space="preserve">: </w:t>
      </w:r>
      <w:r w:rsidR="00E93DBA">
        <w:rPr>
          <w:color w:val="auto"/>
          <w:sz w:val="48"/>
          <w:szCs w:val="48"/>
        </w:rPr>
        <w:t>Queensland heritage</w:t>
      </w:r>
    </w:p>
    <w:p w:rsidR="00D869A8" w:rsidRPr="00644DFE" w:rsidRDefault="00D869A8" w:rsidP="00F0028F"/>
    <w:p w:rsidR="0082382C" w:rsidRPr="009B4A74" w:rsidRDefault="0054092F" w:rsidP="00F0028F">
      <w:pPr>
        <w:rPr>
          <w:sz w:val="32"/>
          <w:szCs w:val="32"/>
        </w:rPr>
      </w:pPr>
      <w:r w:rsidRPr="009B4A74">
        <w:rPr>
          <w:sz w:val="32"/>
          <w:szCs w:val="32"/>
        </w:rPr>
        <w:t xml:space="preserve">Table </w:t>
      </w:r>
      <w:r w:rsidR="00E93DBA" w:rsidRPr="009B4A74">
        <w:rPr>
          <w:sz w:val="32"/>
          <w:szCs w:val="32"/>
        </w:rPr>
        <w:t>14.2.2</w:t>
      </w:r>
      <w:r w:rsidRPr="009B4A74">
        <w:rPr>
          <w:sz w:val="32"/>
          <w:szCs w:val="32"/>
        </w:rPr>
        <w:t xml:space="preserve">: </w:t>
      </w:r>
      <w:r w:rsidR="00E93DBA" w:rsidRPr="009B4A74">
        <w:rPr>
          <w:sz w:val="32"/>
          <w:szCs w:val="32"/>
        </w:rPr>
        <w:t>Development on a state heritage place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8"/>
        <w:gridCol w:w="5009"/>
        <w:gridCol w:w="5009"/>
      </w:tblGrid>
      <w:tr w:rsidR="000E794F" w:rsidRPr="00644DFE" w:rsidTr="00CD43FD">
        <w:trPr>
          <w:trHeight w:val="20"/>
          <w:tblHeader/>
        </w:trPr>
        <w:tc>
          <w:tcPr>
            <w:tcW w:w="1650" w:type="pct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000000" w:themeFill="text1"/>
            <w:vAlign w:val="center"/>
          </w:tcPr>
          <w:p w:rsidR="000E794F" w:rsidRPr="009B4A74" w:rsidRDefault="000E794F" w:rsidP="00F0028F">
            <w:pPr>
              <w:pStyle w:val="TableHeadingLeft-White"/>
              <w:rPr>
                <w:b/>
                <w:sz w:val="24"/>
                <w:szCs w:val="24"/>
              </w:rPr>
            </w:pPr>
            <w:r w:rsidRPr="009B4A74">
              <w:rPr>
                <w:b/>
                <w:sz w:val="24"/>
                <w:szCs w:val="24"/>
              </w:rPr>
              <w:t>Performance outcomes</w:t>
            </w:r>
          </w:p>
        </w:tc>
        <w:tc>
          <w:tcPr>
            <w:tcW w:w="1650" w:type="pct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000000" w:themeFill="text1"/>
            <w:vAlign w:val="center"/>
          </w:tcPr>
          <w:p w:rsidR="000E794F" w:rsidRPr="009B4A74" w:rsidRDefault="000E794F" w:rsidP="00F0028F">
            <w:pPr>
              <w:pStyle w:val="TableHeadingLeft-White"/>
              <w:rPr>
                <w:b/>
                <w:sz w:val="24"/>
                <w:szCs w:val="24"/>
              </w:rPr>
            </w:pPr>
            <w:r w:rsidRPr="009B4A74">
              <w:rPr>
                <w:b/>
                <w:sz w:val="24"/>
                <w:szCs w:val="24"/>
              </w:rPr>
              <w:t>Acceptable outcomes</w:t>
            </w:r>
          </w:p>
        </w:tc>
        <w:tc>
          <w:tcPr>
            <w:tcW w:w="1650" w:type="pct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000000" w:themeFill="text1"/>
          </w:tcPr>
          <w:p w:rsidR="000E794F" w:rsidRPr="009B4A74" w:rsidRDefault="000E794F" w:rsidP="00F0028F">
            <w:pPr>
              <w:pStyle w:val="TableHeadingLeft-White"/>
              <w:rPr>
                <w:b/>
                <w:sz w:val="24"/>
                <w:szCs w:val="24"/>
              </w:rPr>
            </w:pPr>
            <w:r w:rsidRPr="009B4A74">
              <w:rPr>
                <w:b/>
                <w:sz w:val="24"/>
                <w:szCs w:val="24"/>
              </w:rPr>
              <w:t>Response</w:t>
            </w:r>
          </w:p>
        </w:tc>
      </w:tr>
      <w:tr w:rsidR="000E794F" w:rsidRPr="00644DFE" w:rsidTr="000E794F"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0E794F" w:rsidRPr="00F0028F" w:rsidRDefault="000E794F" w:rsidP="00F0028F">
            <w:pPr>
              <w:pStyle w:val="TabletextAOs"/>
              <w:rPr>
                <w:b w:val="0"/>
                <w:sz w:val="20"/>
                <w:szCs w:val="20"/>
              </w:rPr>
            </w:pPr>
            <w:r w:rsidRPr="00F0028F">
              <w:rPr>
                <w:sz w:val="20"/>
                <w:szCs w:val="20"/>
              </w:rPr>
              <w:t xml:space="preserve">PO1 </w:t>
            </w:r>
            <w:r w:rsidRPr="00F0028F">
              <w:rPr>
                <w:b w:val="0"/>
                <w:sz w:val="20"/>
                <w:szCs w:val="20"/>
              </w:rPr>
              <w:t>Development of a state heritage place:</w:t>
            </w:r>
          </w:p>
          <w:p w:rsidR="000E794F" w:rsidRPr="00F0028F" w:rsidRDefault="000E794F" w:rsidP="00F0028F">
            <w:pPr>
              <w:pStyle w:val="TabletextAOs"/>
              <w:numPr>
                <w:ilvl w:val="0"/>
                <w:numId w:val="23"/>
              </w:numPr>
              <w:rPr>
                <w:b w:val="0"/>
                <w:sz w:val="20"/>
                <w:szCs w:val="20"/>
              </w:rPr>
            </w:pPr>
            <w:r w:rsidRPr="00F0028F">
              <w:rPr>
                <w:b w:val="0"/>
                <w:sz w:val="20"/>
                <w:szCs w:val="20"/>
              </w:rPr>
              <w:t>does not have a detrimental impact on the cultural heritage significance of the state heritage place; or</w:t>
            </w:r>
          </w:p>
          <w:p w:rsidR="000E794F" w:rsidRPr="00F0028F" w:rsidRDefault="000E794F" w:rsidP="00F0028F">
            <w:pPr>
              <w:pStyle w:val="TabletextAOs"/>
              <w:numPr>
                <w:ilvl w:val="0"/>
                <w:numId w:val="23"/>
              </w:numPr>
              <w:rPr>
                <w:b w:val="0"/>
                <w:sz w:val="20"/>
                <w:szCs w:val="20"/>
              </w:rPr>
            </w:pPr>
            <w:r w:rsidRPr="00F0028F">
              <w:rPr>
                <w:b w:val="0"/>
                <w:sz w:val="20"/>
                <w:szCs w:val="20"/>
              </w:rPr>
              <w:t>where it is demonstrated that 1 is not reasonably achievable:</w:t>
            </w:r>
          </w:p>
          <w:p w:rsidR="000E794F" w:rsidRPr="00F0028F" w:rsidRDefault="000E794F" w:rsidP="00F0028F">
            <w:pPr>
              <w:pStyle w:val="TabletextAOs"/>
              <w:numPr>
                <w:ilvl w:val="1"/>
                <w:numId w:val="23"/>
              </w:numPr>
              <w:rPr>
                <w:b w:val="0"/>
                <w:sz w:val="20"/>
                <w:szCs w:val="20"/>
              </w:rPr>
            </w:pPr>
            <w:r w:rsidRPr="00F0028F">
              <w:rPr>
                <w:b w:val="0"/>
                <w:sz w:val="20"/>
                <w:szCs w:val="20"/>
              </w:rPr>
              <w:t>minimises and mitigates unavoidable detrimental impacts on its cultural heritage significance</w:t>
            </w:r>
          </w:p>
          <w:p w:rsidR="000E794F" w:rsidRPr="00F0028F" w:rsidRDefault="000E794F" w:rsidP="00F0028F">
            <w:pPr>
              <w:pStyle w:val="TabletextAOs"/>
              <w:numPr>
                <w:ilvl w:val="1"/>
                <w:numId w:val="23"/>
              </w:numPr>
              <w:rPr>
                <w:b w:val="0"/>
                <w:sz w:val="20"/>
                <w:szCs w:val="20"/>
              </w:rPr>
            </w:pPr>
            <w:r w:rsidRPr="00F0028F">
              <w:rPr>
                <w:b w:val="0"/>
                <w:sz w:val="20"/>
                <w:szCs w:val="20"/>
              </w:rPr>
              <w:t>provides opportunities for public appreciation of its cultural heritage significance</w:t>
            </w:r>
          </w:p>
          <w:p w:rsidR="000E794F" w:rsidRPr="00F0028F" w:rsidRDefault="000E794F" w:rsidP="00F0028F">
            <w:pPr>
              <w:pStyle w:val="TabletextAOs"/>
              <w:numPr>
                <w:ilvl w:val="1"/>
                <w:numId w:val="23"/>
              </w:numPr>
              <w:rPr>
                <w:sz w:val="20"/>
                <w:szCs w:val="20"/>
              </w:rPr>
            </w:pPr>
            <w:r w:rsidRPr="00F0028F">
              <w:rPr>
                <w:b w:val="0"/>
                <w:sz w:val="20"/>
                <w:szCs w:val="20"/>
              </w:rPr>
              <w:t>where adaptive reuse is proposed, is compatible with its ongoing conservation management.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0E794F" w:rsidRPr="00F0028F" w:rsidRDefault="000E794F" w:rsidP="00F0028F">
            <w:pPr>
              <w:pStyle w:val="TabletextAOs"/>
              <w:rPr>
                <w:b w:val="0"/>
                <w:sz w:val="20"/>
                <w:szCs w:val="20"/>
              </w:rPr>
            </w:pPr>
            <w:r w:rsidRPr="00F0028F">
              <w:rPr>
                <w:b w:val="0"/>
                <w:sz w:val="20"/>
                <w:szCs w:val="20"/>
              </w:rPr>
              <w:t>No acceptable outcome is prescribed.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0E794F" w:rsidRPr="00F0028F" w:rsidRDefault="000E794F" w:rsidP="00F0028F">
            <w:pPr>
              <w:rPr>
                <w:b w:val="0"/>
                <w:sz w:val="20"/>
                <w:szCs w:val="20"/>
                <w:highlight w:val="lightGray"/>
                <w:lang w:eastAsia="en-US"/>
              </w:rPr>
            </w:pPr>
            <w:r w:rsidRPr="00F0028F">
              <w:rPr>
                <w:b w:val="0"/>
                <w:sz w:val="20"/>
                <w:szCs w:val="20"/>
                <w:highlight w:val="lightGray"/>
                <w:lang w:eastAsia="en-US"/>
              </w:rPr>
              <w:t>Complies with PO# / AO#</w:t>
            </w:r>
          </w:p>
          <w:p w:rsidR="000E794F" w:rsidRPr="00081544" w:rsidRDefault="000E794F" w:rsidP="00F0028F">
            <w:pPr>
              <w:rPr>
                <w:highlight w:val="lightGray"/>
                <w:lang w:eastAsia="en-US"/>
              </w:rPr>
            </w:pPr>
            <w:r w:rsidRPr="00F0028F">
              <w:rPr>
                <w:b w:val="0"/>
                <w:sz w:val="20"/>
                <w:szCs w:val="20"/>
                <w:highlight w:val="lightGray"/>
                <w:lang w:eastAsia="en-US"/>
              </w:rPr>
              <w:t>Use this column to indicate whether compliance is achieved with the relevant PO or AO (or if they do not apply), and explain why</w:t>
            </w:r>
          </w:p>
        </w:tc>
      </w:tr>
      <w:tr w:rsidR="000E794F" w:rsidRPr="00644DFE" w:rsidTr="000E794F"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0E794F" w:rsidRPr="00F0028F" w:rsidRDefault="000E794F" w:rsidP="00963D38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028F">
              <w:rPr>
                <w:rFonts w:ascii="Arial" w:hAnsi="Arial" w:cs="Arial"/>
                <w:b/>
                <w:sz w:val="20"/>
                <w:szCs w:val="20"/>
              </w:rPr>
              <w:t>PO2</w:t>
            </w:r>
            <w:r w:rsidRPr="00F0028F">
              <w:rPr>
                <w:rFonts w:ascii="Arial" w:hAnsi="Arial" w:cs="Arial"/>
                <w:sz w:val="20"/>
                <w:szCs w:val="20"/>
              </w:rPr>
              <w:t xml:space="preserve"> Where open space, or the relationship between built and open spaces at a state heritage place is identified as forming part of its cultural heritage significance, development:</w:t>
            </w:r>
          </w:p>
          <w:p w:rsidR="000E794F" w:rsidRPr="00F0028F" w:rsidRDefault="000E794F" w:rsidP="00963D38">
            <w:pPr>
              <w:pStyle w:val="NoSpacing"/>
              <w:numPr>
                <w:ilvl w:val="0"/>
                <w:numId w:val="22"/>
              </w:numPr>
              <w:ind w:left="357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028F">
              <w:rPr>
                <w:rFonts w:ascii="Arial" w:hAnsi="Arial" w:cs="Arial"/>
                <w:sz w:val="20"/>
                <w:szCs w:val="20"/>
              </w:rPr>
              <w:t>maintains or enhances the significance of the setting, including significant views, circulation, access, spatial patterns and layout</w:t>
            </w:r>
          </w:p>
          <w:p w:rsidR="000E794F" w:rsidRPr="00F0028F" w:rsidRDefault="000E794F" w:rsidP="00963D38">
            <w:pPr>
              <w:pStyle w:val="NoSpacing"/>
              <w:numPr>
                <w:ilvl w:val="0"/>
                <w:numId w:val="22"/>
              </w:numPr>
              <w:ind w:left="357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028F">
              <w:rPr>
                <w:rFonts w:ascii="Arial" w:hAnsi="Arial" w:cs="Arial"/>
                <w:sz w:val="20"/>
                <w:szCs w:val="20"/>
              </w:rPr>
              <w:t>maintains a lot size and layout which permits viable adaptive reuse or conservation of significant heritage buildings and open spaces.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0E794F" w:rsidRPr="00F0028F" w:rsidRDefault="000E794F" w:rsidP="00F0028F">
            <w:pPr>
              <w:pStyle w:val="TabletextAOs"/>
              <w:rPr>
                <w:b w:val="0"/>
                <w:sz w:val="20"/>
                <w:szCs w:val="20"/>
              </w:rPr>
            </w:pPr>
            <w:r w:rsidRPr="00F0028F">
              <w:rPr>
                <w:b w:val="0"/>
                <w:sz w:val="20"/>
                <w:szCs w:val="20"/>
              </w:rPr>
              <w:t>No acceptable outcome is prescribed.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0E794F" w:rsidRPr="00D869A8" w:rsidRDefault="000E794F" w:rsidP="00F0028F">
            <w:pPr>
              <w:rPr>
                <w:lang w:eastAsia="en-US"/>
              </w:rPr>
            </w:pPr>
          </w:p>
        </w:tc>
      </w:tr>
      <w:tr w:rsidR="000E794F" w:rsidRPr="00644DFE" w:rsidTr="00CD43FD"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0E794F" w:rsidRDefault="000E794F" w:rsidP="00963D38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028F">
              <w:rPr>
                <w:rFonts w:ascii="Arial" w:hAnsi="Arial" w:cs="Arial"/>
                <w:b/>
                <w:sz w:val="20"/>
                <w:szCs w:val="20"/>
              </w:rPr>
              <w:t xml:space="preserve">PO3 </w:t>
            </w:r>
            <w:r w:rsidRPr="00F0028F">
              <w:rPr>
                <w:rFonts w:ascii="Arial" w:hAnsi="Arial" w:cs="Arial"/>
                <w:sz w:val="20"/>
                <w:szCs w:val="20"/>
              </w:rPr>
              <w:t xml:space="preserve">Development on a state heritage place with identified archaeological potential avoids or </w:t>
            </w:r>
            <w:r w:rsidRPr="00F0028F">
              <w:rPr>
                <w:rFonts w:ascii="Arial" w:hAnsi="Arial" w:cs="Arial"/>
                <w:sz w:val="20"/>
                <w:szCs w:val="20"/>
              </w:rPr>
              <w:lastRenderedPageBreak/>
              <w:t>appropriately manages detrimental impacts on artefacts.</w:t>
            </w:r>
          </w:p>
          <w:p w:rsidR="00F0028F" w:rsidRPr="00F0028F" w:rsidRDefault="00F0028F" w:rsidP="00963D38">
            <w:pPr>
              <w:pStyle w:val="NoSpacing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0E794F" w:rsidRPr="00F0028F" w:rsidRDefault="000E794F" w:rsidP="00F0028F">
            <w:pPr>
              <w:pStyle w:val="TabletextAOs"/>
              <w:rPr>
                <w:b w:val="0"/>
                <w:sz w:val="20"/>
                <w:szCs w:val="20"/>
              </w:rPr>
            </w:pPr>
            <w:r w:rsidRPr="00F0028F">
              <w:rPr>
                <w:b w:val="0"/>
                <w:sz w:val="20"/>
                <w:szCs w:val="20"/>
              </w:rPr>
              <w:lastRenderedPageBreak/>
              <w:t>No acceptable outcome is prescribed.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0E794F" w:rsidRPr="00D869A8" w:rsidRDefault="000E794F" w:rsidP="00F0028F">
            <w:pPr>
              <w:rPr>
                <w:lang w:eastAsia="en-US"/>
              </w:rPr>
            </w:pPr>
          </w:p>
        </w:tc>
      </w:tr>
      <w:tr w:rsidR="000E794F" w:rsidRPr="00644DFE" w:rsidTr="009B4A74">
        <w:tc>
          <w:tcPr>
            <w:tcW w:w="165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BFBFBF" w:themeFill="background1" w:themeFillShade="BF"/>
          </w:tcPr>
          <w:p w:rsidR="000E794F" w:rsidRPr="00F0028F" w:rsidRDefault="000E794F" w:rsidP="00F0028F">
            <w:pPr>
              <w:pStyle w:val="TableHeadingLeft-Grey"/>
              <w:rPr>
                <w:sz w:val="20"/>
                <w:szCs w:val="20"/>
              </w:rPr>
            </w:pPr>
            <w:r w:rsidRPr="00F0028F">
              <w:rPr>
                <w:sz w:val="20"/>
                <w:szCs w:val="20"/>
              </w:rPr>
              <w:t>Development proposing to destroy or substantially reduce the cultural heritage significance of a state heritage place</w:t>
            </w:r>
          </w:p>
        </w:tc>
      </w:tr>
      <w:tr w:rsidR="000E794F" w:rsidRPr="00644DFE" w:rsidTr="000E794F">
        <w:tc>
          <w:tcPr>
            <w:tcW w:w="1650" w:type="pct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</w:tcPr>
          <w:p w:rsidR="000E794F" w:rsidRPr="00F0028F" w:rsidRDefault="000E794F" w:rsidP="00963D38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028F">
              <w:rPr>
                <w:rFonts w:ascii="Arial" w:hAnsi="Arial" w:cs="Arial"/>
                <w:b/>
                <w:sz w:val="20"/>
                <w:szCs w:val="20"/>
              </w:rPr>
              <w:t xml:space="preserve">PO4 </w:t>
            </w:r>
            <w:r w:rsidRPr="00F0028F">
              <w:rPr>
                <w:rFonts w:ascii="Arial" w:hAnsi="Arial" w:cs="Arial"/>
                <w:sz w:val="20"/>
                <w:szCs w:val="20"/>
              </w:rPr>
              <w:t>Development destroying or substantially reducing the cultural heritage significance of a state heritage place must:</w:t>
            </w:r>
          </w:p>
          <w:p w:rsidR="000E794F" w:rsidRPr="00F0028F" w:rsidRDefault="000E794F" w:rsidP="00963D38">
            <w:pPr>
              <w:pStyle w:val="NoSpacing"/>
              <w:numPr>
                <w:ilvl w:val="0"/>
                <w:numId w:val="24"/>
              </w:numPr>
              <w:ind w:left="357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028F">
              <w:rPr>
                <w:rFonts w:ascii="Arial" w:hAnsi="Arial" w:cs="Arial"/>
                <w:sz w:val="20"/>
                <w:szCs w:val="20"/>
              </w:rPr>
              <w:t>demonstrate that there is no prudent and feasible alternative to carrying out the development due to:</w:t>
            </w:r>
          </w:p>
          <w:p w:rsidR="000E794F" w:rsidRPr="00F0028F" w:rsidRDefault="000E794F" w:rsidP="00963D38">
            <w:pPr>
              <w:pStyle w:val="NoSpacing"/>
              <w:numPr>
                <w:ilvl w:val="1"/>
                <w:numId w:val="24"/>
              </w:numPr>
              <w:ind w:left="714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028F">
              <w:rPr>
                <w:rFonts w:ascii="Arial" w:hAnsi="Arial" w:cs="Arial"/>
                <w:sz w:val="20"/>
                <w:szCs w:val="20"/>
              </w:rPr>
              <w:t>an extraordinary economic cost to the state, all or part of a community, or an individual; or</w:t>
            </w:r>
          </w:p>
          <w:p w:rsidR="000E794F" w:rsidRPr="00F0028F" w:rsidRDefault="000E794F" w:rsidP="00963D38">
            <w:pPr>
              <w:pStyle w:val="NoSpacing"/>
              <w:numPr>
                <w:ilvl w:val="1"/>
                <w:numId w:val="24"/>
              </w:numPr>
              <w:ind w:left="714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028F">
              <w:rPr>
                <w:rFonts w:ascii="Arial" w:hAnsi="Arial" w:cs="Arial"/>
                <w:sz w:val="20"/>
                <w:szCs w:val="20"/>
              </w:rPr>
              <w:t>an extraordinary environmental or social disadvantage; or</w:t>
            </w:r>
          </w:p>
          <w:p w:rsidR="000E794F" w:rsidRPr="00F0028F" w:rsidRDefault="000E794F" w:rsidP="00963D38">
            <w:pPr>
              <w:pStyle w:val="NoSpacing"/>
              <w:numPr>
                <w:ilvl w:val="1"/>
                <w:numId w:val="24"/>
              </w:numPr>
              <w:ind w:left="714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028F">
              <w:rPr>
                <w:rFonts w:ascii="Arial" w:hAnsi="Arial" w:cs="Arial"/>
                <w:sz w:val="20"/>
                <w:szCs w:val="20"/>
              </w:rPr>
              <w:t>a risk to public health or safety; or</w:t>
            </w:r>
          </w:p>
          <w:p w:rsidR="000E794F" w:rsidRPr="00F0028F" w:rsidRDefault="000E794F" w:rsidP="00963D38">
            <w:pPr>
              <w:pStyle w:val="NoSpacing"/>
              <w:numPr>
                <w:ilvl w:val="1"/>
                <w:numId w:val="24"/>
              </w:numPr>
              <w:ind w:left="714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028F">
              <w:rPr>
                <w:rFonts w:ascii="Arial" w:hAnsi="Arial" w:cs="Arial"/>
                <w:sz w:val="20"/>
                <w:szCs w:val="20"/>
              </w:rPr>
              <w:t>another extraordinary or unique circumstance</w:t>
            </w:r>
          </w:p>
          <w:p w:rsidR="000E794F" w:rsidRPr="00F0028F" w:rsidRDefault="000E794F" w:rsidP="00963D38">
            <w:pPr>
              <w:pStyle w:val="NoSpacing"/>
              <w:numPr>
                <w:ilvl w:val="0"/>
                <w:numId w:val="24"/>
              </w:numPr>
              <w:ind w:left="357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028F">
              <w:rPr>
                <w:rFonts w:ascii="Arial" w:hAnsi="Arial" w:cs="Arial"/>
                <w:sz w:val="20"/>
                <w:szCs w:val="20"/>
              </w:rPr>
              <w:t>interpret and incorporate the place’s history and significance into any development of the site.</w:t>
            </w:r>
          </w:p>
          <w:p w:rsidR="000E794F" w:rsidRPr="00F0028F" w:rsidRDefault="000E794F" w:rsidP="00963D38">
            <w:pPr>
              <w:pStyle w:val="NoSpacing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0E794F" w:rsidRPr="00F0028F" w:rsidRDefault="00293B8C" w:rsidP="00963D38">
            <w:pPr>
              <w:pStyle w:val="NoSpacing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0E794F" w:rsidRPr="009B4A74">
              <w:rPr>
                <w:rFonts w:ascii="Arial" w:hAnsi="Arial" w:cs="Arial"/>
                <w:sz w:val="18"/>
                <w:szCs w:val="18"/>
              </w:rPr>
              <w:t xml:space="preserve">ote: In accordance with the </w:t>
            </w:r>
            <w:r w:rsidR="000E794F" w:rsidRPr="009B4A74">
              <w:rPr>
                <w:rFonts w:ascii="Arial" w:hAnsi="Arial" w:cs="Arial"/>
                <w:i/>
                <w:sz w:val="18"/>
                <w:szCs w:val="18"/>
              </w:rPr>
              <w:t>Planning Act 2016</w:t>
            </w:r>
            <w:r w:rsidR="000E794F" w:rsidRPr="009B4A74">
              <w:rPr>
                <w:rFonts w:ascii="Arial" w:hAnsi="Arial" w:cs="Arial"/>
                <w:sz w:val="18"/>
                <w:szCs w:val="18"/>
              </w:rPr>
              <w:t xml:space="preserve">, the State Assessment and Referral Agency (SARA) will seek advice from the Queensland Heritage Council (via the Department of Environment and </w:t>
            </w:r>
            <w:r w:rsidR="00C93B08" w:rsidRPr="009B4A74">
              <w:rPr>
                <w:rFonts w:ascii="Arial" w:hAnsi="Arial" w:cs="Arial"/>
                <w:sz w:val="18"/>
                <w:szCs w:val="18"/>
              </w:rPr>
              <w:t>Science</w:t>
            </w:r>
            <w:r w:rsidR="000E794F" w:rsidRPr="009B4A74">
              <w:rPr>
                <w:rFonts w:ascii="Arial" w:hAnsi="Arial" w:cs="Arial"/>
                <w:sz w:val="18"/>
                <w:szCs w:val="18"/>
              </w:rPr>
              <w:t>) on any application that will potentially destroy or substantially reduce the cultural heritage significance of a state heritage place</w:t>
            </w:r>
            <w:r w:rsidR="000E794F" w:rsidRPr="00F0028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0E794F" w:rsidRPr="00F0028F" w:rsidRDefault="000E794F" w:rsidP="00F0028F">
            <w:pPr>
              <w:pStyle w:val="TabletextAOs"/>
              <w:rPr>
                <w:b w:val="0"/>
                <w:sz w:val="20"/>
                <w:szCs w:val="20"/>
              </w:rPr>
            </w:pPr>
            <w:r w:rsidRPr="00F0028F">
              <w:rPr>
                <w:b w:val="0"/>
                <w:sz w:val="20"/>
                <w:szCs w:val="20"/>
              </w:rPr>
              <w:t>No acceptable outcome is prescribed.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0E794F" w:rsidRPr="00D869A8" w:rsidRDefault="000E794F" w:rsidP="00F0028F">
            <w:pPr>
              <w:rPr>
                <w:lang w:eastAsia="en-US"/>
              </w:rPr>
            </w:pPr>
          </w:p>
        </w:tc>
      </w:tr>
    </w:tbl>
    <w:p w:rsidR="0001091E" w:rsidRPr="00644DFE" w:rsidRDefault="0001091E" w:rsidP="00F0028F"/>
    <w:p w:rsidR="00E93DBA" w:rsidRPr="00DD61E1" w:rsidRDefault="00E93DBA" w:rsidP="00F0028F">
      <w:r w:rsidRPr="00DD61E1">
        <w:t xml:space="preserve">Table </w:t>
      </w:r>
      <w:r>
        <w:t>14.2.3</w:t>
      </w:r>
      <w:r w:rsidRPr="00DD61E1">
        <w:t xml:space="preserve">: </w:t>
      </w:r>
      <w:r w:rsidRPr="00E93DBA">
        <w:t>Material change of use on land adjoining a state heritage place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8"/>
        <w:gridCol w:w="5009"/>
        <w:gridCol w:w="5009"/>
      </w:tblGrid>
      <w:tr w:rsidR="000E794F" w:rsidRPr="00644DFE" w:rsidTr="00CD43FD">
        <w:trPr>
          <w:trHeight w:val="20"/>
          <w:tblHeader/>
        </w:trPr>
        <w:tc>
          <w:tcPr>
            <w:tcW w:w="1650" w:type="pct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000000" w:themeFill="text1"/>
            <w:vAlign w:val="center"/>
          </w:tcPr>
          <w:p w:rsidR="000E794F" w:rsidRPr="009B4A74" w:rsidRDefault="000E794F" w:rsidP="00F0028F">
            <w:pPr>
              <w:pStyle w:val="TableHeadingLeft-White"/>
              <w:rPr>
                <w:b/>
                <w:sz w:val="24"/>
                <w:szCs w:val="24"/>
              </w:rPr>
            </w:pPr>
            <w:r w:rsidRPr="009B4A74">
              <w:rPr>
                <w:b/>
                <w:sz w:val="24"/>
                <w:szCs w:val="24"/>
              </w:rPr>
              <w:t>Performance outcomes</w:t>
            </w:r>
          </w:p>
        </w:tc>
        <w:tc>
          <w:tcPr>
            <w:tcW w:w="1650" w:type="pct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000000" w:themeFill="text1"/>
            <w:vAlign w:val="center"/>
          </w:tcPr>
          <w:p w:rsidR="000E794F" w:rsidRPr="009B4A74" w:rsidRDefault="000E794F" w:rsidP="00F0028F">
            <w:pPr>
              <w:pStyle w:val="TableHeadingLeft-White"/>
              <w:rPr>
                <w:b/>
                <w:sz w:val="24"/>
                <w:szCs w:val="24"/>
              </w:rPr>
            </w:pPr>
            <w:r w:rsidRPr="009B4A74">
              <w:rPr>
                <w:b/>
                <w:sz w:val="24"/>
                <w:szCs w:val="24"/>
              </w:rPr>
              <w:t>Acceptable outcomes</w:t>
            </w:r>
          </w:p>
        </w:tc>
        <w:tc>
          <w:tcPr>
            <w:tcW w:w="1650" w:type="pct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000000" w:themeFill="text1"/>
          </w:tcPr>
          <w:p w:rsidR="000E794F" w:rsidRPr="009B4A74" w:rsidRDefault="000E794F" w:rsidP="00F0028F">
            <w:pPr>
              <w:pStyle w:val="TableHeadingLeft-White"/>
              <w:rPr>
                <w:b/>
                <w:sz w:val="24"/>
                <w:szCs w:val="24"/>
              </w:rPr>
            </w:pPr>
            <w:r w:rsidRPr="009B4A74">
              <w:rPr>
                <w:b/>
                <w:sz w:val="24"/>
                <w:szCs w:val="24"/>
              </w:rPr>
              <w:t>Response</w:t>
            </w:r>
          </w:p>
        </w:tc>
      </w:tr>
      <w:tr w:rsidR="000E794F" w:rsidRPr="00644DFE" w:rsidTr="000E794F"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0E794F" w:rsidRPr="009B4A74" w:rsidRDefault="000E794F" w:rsidP="00F0028F">
            <w:pPr>
              <w:pStyle w:val="TabletextAOs"/>
              <w:rPr>
                <w:b w:val="0"/>
                <w:sz w:val="20"/>
                <w:szCs w:val="20"/>
              </w:rPr>
            </w:pPr>
            <w:r w:rsidRPr="009B4A74">
              <w:rPr>
                <w:sz w:val="20"/>
                <w:szCs w:val="20"/>
              </w:rPr>
              <w:t xml:space="preserve">PO5 </w:t>
            </w:r>
            <w:r w:rsidRPr="009B4A74">
              <w:rPr>
                <w:b w:val="0"/>
                <w:sz w:val="20"/>
                <w:szCs w:val="20"/>
              </w:rPr>
              <w:t>Development on land adjoining a state heritage place:</w:t>
            </w:r>
          </w:p>
          <w:p w:rsidR="000E794F" w:rsidRPr="009B4A74" w:rsidRDefault="000E794F" w:rsidP="00F0028F">
            <w:pPr>
              <w:pStyle w:val="TabletextAOs"/>
              <w:numPr>
                <w:ilvl w:val="0"/>
                <w:numId w:val="25"/>
              </w:numPr>
              <w:rPr>
                <w:b w:val="0"/>
                <w:sz w:val="20"/>
                <w:szCs w:val="20"/>
              </w:rPr>
            </w:pPr>
            <w:r w:rsidRPr="009B4A74">
              <w:rPr>
                <w:b w:val="0"/>
                <w:sz w:val="20"/>
                <w:szCs w:val="20"/>
              </w:rPr>
              <w:t>is located, designed and scaled so that its form, bulk and proximity does not have a detrimental impact on the cultural heritage significance of the state heritage place; or</w:t>
            </w:r>
          </w:p>
          <w:p w:rsidR="000E794F" w:rsidRPr="00D869A8" w:rsidRDefault="000E794F" w:rsidP="00F0028F">
            <w:pPr>
              <w:pStyle w:val="TabletextAOs"/>
              <w:numPr>
                <w:ilvl w:val="0"/>
                <w:numId w:val="25"/>
              </w:numPr>
            </w:pPr>
            <w:r w:rsidRPr="009B4A74">
              <w:rPr>
                <w:b w:val="0"/>
                <w:sz w:val="20"/>
                <w:szCs w:val="20"/>
              </w:rPr>
              <w:lastRenderedPageBreak/>
              <w:t>where it is demonstrated that 1 is not reasonably achievable, the development minimises and mitigates unavoidable detrimental impacts on cultural heritage significance.</w:t>
            </w:r>
            <w:r w:rsidRPr="00E93DBA">
              <w:t xml:space="preserve"> 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0E794F" w:rsidRPr="009B4A74" w:rsidRDefault="000E794F" w:rsidP="00F0028F">
            <w:pPr>
              <w:pStyle w:val="TabletextAOs"/>
              <w:rPr>
                <w:b w:val="0"/>
                <w:sz w:val="20"/>
                <w:szCs w:val="20"/>
              </w:rPr>
            </w:pPr>
            <w:r w:rsidRPr="009B4A74">
              <w:rPr>
                <w:b w:val="0"/>
                <w:sz w:val="20"/>
                <w:szCs w:val="20"/>
              </w:rPr>
              <w:lastRenderedPageBreak/>
              <w:t>No acceptable outcome is prescribed.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0E794F" w:rsidRPr="00F0028F" w:rsidRDefault="000E794F" w:rsidP="00F0028F">
            <w:pPr>
              <w:rPr>
                <w:b w:val="0"/>
                <w:sz w:val="20"/>
                <w:szCs w:val="20"/>
                <w:highlight w:val="lightGray"/>
                <w:lang w:eastAsia="en-US"/>
              </w:rPr>
            </w:pPr>
            <w:r w:rsidRPr="00F0028F">
              <w:rPr>
                <w:b w:val="0"/>
                <w:sz w:val="20"/>
                <w:szCs w:val="20"/>
                <w:highlight w:val="lightGray"/>
                <w:lang w:eastAsia="en-US"/>
              </w:rPr>
              <w:t>Complies with PO# / AO#</w:t>
            </w:r>
          </w:p>
          <w:p w:rsidR="000E794F" w:rsidRPr="00081544" w:rsidRDefault="000E794F" w:rsidP="00F0028F">
            <w:pPr>
              <w:rPr>
                <w:highlight w:val="lightGray"/>
                <w:lang w:eastAsia="en-US"/>
              </w:rPr>
            </w:pPr>
            <w:r w:rsidRPr="00F0028F">
              <w:rPr>
                <w:b w:val="0"/>
                <w:sz w:val="20"/>
                <w:szCs w:val="20"/>
                <w:highlight w:val="lightGray"/>
                <w:lang w:eastAsia="en-US"/>
              </w:rPr>
              <w:t>Use this column to indicate whether compliance is achieved with the relevant PO or AO (or if they do not apply), and explain why</w:t>
            </w:r>
          </w:p>
        </w:tc>
      </w:tr>
    </w:tbl>
    <w:p w:rsidR="00E213F3" w:rsidRPr="00644DFE" w:rsidRDefault="00E213F3" w:rsidP="00F0028F"/>
    <w:sectPr w:rsidR="00E213F3" w:rsidRPr="00644DFE" w:rsidSect="00DD61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2" w:right="1245" w:bottom="1438" w:left="992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B01" w:rsidRDefault="00104B01" w:rsidP="00F0028F">
      <w:r>
        <w:separator/>
      </w:r>
    </w:p>
    <w:p w:rsidR="00104B01" w:rsidRDefault="00104B01" w:rsidP="00F0028F"/>
    <w:p w:rsidR="00104B01" w:rsidRDefault="00104B01" w:rsidP="00F0028F"/>
    <w:p w:rsidR="00104B01" w:rsidRDefault="00104B01" w:rsidP="00F0028F"/>
    <w:p w:rsidR="00104B01" w:rsidRDefault="00104B01" w:rsidP="00F0028F"/>
    <w:p w:rsidR="00104B01" w:rsidRDefault="00104B01"/>
  </w:endnote>
  <w:endnote w:type="continuationSeparator" w:id="0">
    <w:p w:rsidR="00104B01" w:rsidRDefault="00104B01" w:rsidP="00F0028F">
      <w:r>
        <w:continuationSeparator/>
      </w:r>
    </w:p>
    <w:p w:rsidR="00104B01" w:rsidRDefault="00104B01" w:rsidP="00F0028F"/>
    <w:p w:rsidR="00104B01" w:rsidRDefault="00104B01" w:rsidP="00F0028F"/>
    <w:p w:rsidR="00104B01" w:rsidRDefault="00104B01" w:rsidP="00F0028F"/>
    <w:p w:rsidR="00104B01" w:rsidRDefault="00104B01" w:rsidP="00F0028F"/>
    <w:p w:rsidR="00104B01" w:rsidRDefault="00104B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OT-Book">
    <w:altName w:val="Malgun Gothic"/>
    <w:panose1 w:val="00000000000000000000"/>
    <w:charset w:val="00"/>
    <w:family w:val="modern"/>
    <w:notTrueType/>
    <w:pitch w:val="variable"/>
    <w:sig w:usb0="800000AF" w:usb1="4000206B" w:usb2="00000000" w:usb3="00000000" w:csb0="00000001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91E" w:rsidRDefault="0001091E" w:rsidP="00F0028F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091E" w:rsidRDefault="0001091E" w:rsidP="00F0028F">
    <w:pPr>
      <w:pStyle w:val="Footer"/>
    </w:pPr>
  </w:p>
  <w:p w:rsidR="0001091E" w:rsidRDefault="0001091E" w:rsidP="00F0028F"/>
  <w:p w:rsidR="00C25F18" w:rsidRDefault="00C25F18" w:rsidP="00F0028F"/>
  <w:p w:rsidR="003E6A20" w:rsidRDefault="003E6A20" w:rsidP="00F0028F"/>
  <w:p w:rsidR="008B19F9" w:rsidRDefault="008B19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91E" w:rsidRPr="00682EC4" w:rsidRDefault="0001091E" w:rsidP="00F0028F">
    <w:pPr>
      <w:pStyle w:val="Footer"/>
    </w:pPr>
    <w:r w:rsidRPr="00682EC4">
      <w:t xml:space="preserve">State </w:t>
    </w:r>
    <w:r w:rsidR="00201EAF" w:rsidRPr="00682EC4">
      <w:t xml:space="preserve">Development Assessment Provisions – </w:t>
    </w:r>
    <w:r w:rsidR="007B5A75">
      <w:t>version 2.</w:t>
    </w:r>
    <w:r w:rsidR="00DF02C1">
      <w:t>6</w:t>
    </w:r>
    <w:r w:rsidRPr="00682EC4">
      <w:tab/>
    </w:r>
    <w:r w:rsidR="001F10C6" w:rsidRPr="00682EC4">
      <w:tab/>
    </w:r>
  </w:p>
  <w:p w:rsidR="0001091E" w:rsidRPr="00682EC4" w:rsidRDefault="0054092F" w:rsidP="00F0028F">
    <w:pPr>
      <w:pStyle w:val="Footer"/>
    </w:pPr>
    <w:r w:rsidRPr="00682EC4">
      <w:t xml:space="preserve">State code </w:t>
    </w:r>
    <w:r w:rsidR="00E93DBA">
      <w:t>14</w:t>
    </w:r>
    <w:r w:rsidRPr="00682EC4">
      <w:t xml:space="preserve">: </w:t>
    </w:r>
    <w:r w:rsidR="00E93DBA">
      <w:t>Queensland heritage</w:t>
    </w:r>
    <w:r w:rsidR="0001091E" w:rsidRPr="00682EC4">
      <w:tab/>
      <w:t xml:space="preserve"> </w:t>
    </w:r>
    <w:r w:rsidR="0001091E" w:rsidRPr="00682EC4">
      <w:tab/>
    </w:r>
    <w:r w:rsidR="0001091E" w:rsidRPr="00682EC4">
      <w:tab/>
    </w:r>
    <w:r w:rsidR="0001091E" w:rsidRPr="00682EC4">
      <w:tab/>
    </w:r>
    <w:r w:rsidR="0001091E" w:rsidRPr="00682EC4">
      <w:tab/>
    </w:r>
    <w:r w:rsidR="0001091E" w:rsidRPr="00682EC4">
      <w:tab/>
    </w:r>
    <w:r w:rsidR="0001091E" w:rsidRPr="00682EC4">
      <w:tab/>
    </w:r>
    <w:r w:rsidR="0001091E" w:rsidRPr="00682EC4">
      <w:tab/>
    </w:r>
    <w:r w:rsidR="0001091E" w:rsidRPr="00682EC4">
      <w:tab/>
      <w:t xml:space="preserve">Page </w:t>
    </w:r>
    <w:r w:rsidR="0001091E" w:rsidRPr="00682EC4">
      <w:fldChar w:fldCharType="begin"/>
    </w:r>
    <w:r w:rsidR="0001091E" w:rsidRPr="00682EC4">
      <w:instrText xml:space="preserve"> PAGE </w:instrText>
    </w:r>
    <w:r w:rsidR="0001091E" w:rsidRPr="00682EC4">
      <w:fldChar w:fldCharType="separate"/>
    </w:r>
    <w:r w:rsidR="00293B8C">
      <w:rPr>
        <w:noProof/>
      </w:rPr>
      <w:t>3</w:t>
    </w:r>
    <w:r w:rsidR="0001091E" w:rsidRPr="00682EC4">
      <w:fldChar w:fldCharType="end"/>
    </w:r>
    <w:r w:rsidR="0001091E" w:rsidRPr="00682EC4">
      <w:t xml:space="preserve"> of </w:t>
    </w:r>
    <w:fldSimple w:instr=" NUMPAGES ">
      <w:r w:rsidR="00293B8C">
        <w:rPr>
          <w:noProof/>
        </w:rPr>
        <w:t>3</w:t>
      </w:r>
    </w:fldSimple>
  </w:p>
  <w:p w:rsidR="0001091E" w:rsidRPr="00682EC4" w:rsidRDefault="0001091E" w:rsidP="00F0028F"/>
  <w:p w:rsidR="00C25F18" w:rsidRDefault="00C25F18" w:rsidP="00F0028F"/>
  <w:p w:rsidR="003E6A20" w:rsidRDefault="003E6A20" w:rsidP="00F0028F"/>
  <w:p w:rsidR="008B19F9" w:rsidRDefault="008B19F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2C1" w:rsidRDefault="00DF02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B01" w:rsidRDefault="00104B01" w:rsidP="00F0028F">
      <w:r>
        <w:separator/>
      </w:r>
    </w:p>
    <w:p w:rsidR="00104B01" w:rsidRDefault="00104B01" w:rsidP="00F0028F"/>
    <w:p w:rsidR="00104B01" w:rsidRDefault="00104B01" w:rsidP="00F0028F"/>
    <w:p w:rsidR="00104B01" w:rsidRDefault="00104B01" w:rsidP="00F0028F"/>
    <w:p w:rsidR="00104B01" w:rsidRDefault="00104B01" w:rsidP="00F0028F"/>
    <w:p w:rsidR="00104B01" w:rsidRDefault="00104B01"/>
  </w:footnote>
  <w:footnote w:type="continuationSeparator" w:id="0">
    <w:p w:rsidR="00104B01" w:rsidRDefault="00104B01" w:rsidP="00F0028F">
      <w:r>
        <w:continuationSeparator/>
      </w:r>
    </w:p>
    <w:p w:rsidR="00104B01" w:rsidRDefault="00104B01" w:rsidP="00F0028F"/>
    <w:p w:rsidR="00104B01" w:rsidRDefault="00104B01" w:rsidP="00F0028F"/>
    <w:p w:rsidR="00104B01" w:rsidRDefault="00104B01" w:rsidP="00F0028F"/>
    <w:p w:rsidR="00104B01" w:rsidRDefault="00104B01" w:rsidP="00F0028F"/>
    <w:p w:rsidR="00104B01" w:rsidRDefault="00104B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2C1" w:rsidRDefault="00DF02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2C1" w:rsidRDefault="00DF02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2C1" w:rsidRDefault="00DF02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D0292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94781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D689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2826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0D7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88C7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3A2C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1A9E7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2471641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8560ED4"/>
    <w:multiLevelType w:val="hybridMultilevel"/>
    <w:tmpl w:val="344221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B10D2D"/>
    <w:multiLevelType w:val="hybridMultilevel"/>
    <w:tmpl w:val="16DEA816"/>
    <w:lvl w:ilvl="0" w:tplc="E0246D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233B68"/>
    <w:multiLevelType w:val="multilevel"/>
    <w:tmpl w:val="3208D262"/>
    <w:lvl w:ilvl="0">
      <w:start w:val="1"/>
      <w:numFmt w:val="none"/>
      <w:pStyle w:val="ListParagraph"/>
      <w:suff w:val="nothing"/>
      <w:lvlText w:val="%1"/>
      <w:lvlJc w:val="left"/>
      <w:pPr>
        <w:ind w:left="284" w:firstLine="0"/>
      </w:pPr>
      <w:rPr>
        <w:rFonts w:cs="Courier"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567" w:firstLine="0"/>
      </w:pPr>
      <w:rPr>
        <w:rFonts w:ascii="Arial Bold" w:hAnsi="Arial Bold" w:hint="default"/>
        <w:b/>
        <w:i w:val="0"/>
        <w:sz w:val="22"/>
        <w:szCs w:val="22"/>
      </w:rPr>
    </w:lvl>
    <w:lvl w:ilvl="2">
      <w:start w:val="1"/>
      <w:numFmt w:val="none"/>
      <w:lvlRestart w:val="0"/>
      <w:pStyle w:val="CoverDetail1"/>
      <w:suff w:val="nothing"/>
      <w:lvlText w:val="%1"/>
      <w:lvlJc w:val="left"/>
      <w:pPr>
        <w:ind w:left="851" w:firstLine="0"/>
      </w:pPr>
      <w:rPr>
        <w:rFonts w:ascii="Arial" w:hAnsi="Arial" w:hint="default"/>
        <w:b w:val="0"/>
        <w:i/>
        <w:color w:val="auto"/>
        <w:sz w:val="22"/>
        <w:szCs w:val="22"/>
      </w:rPr>
    </w:lvl>
    <w:lvl w:ilvl="3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4">
      <w:start w:val="1"/>
      <w:numFmt w:val="none"/>
      <w:lvlRestart w:val="0"/>
      <w:pStyle w:val="TableTitle"/>
      <w:suff w:val="nothing"/>
      <w:lvlText w:val=""/>
      <w:lvlJc w:val="left"/>
      <w:pPr>
        <w:ind w:left="1418" w:firstLine="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Restart w:val="0"/>
      <w:suff w:val="nothing"/>
      <w:lvlText w:val=""/>
      <w:lvlJc w:val="left"/>
      <w:pPr>
        <w:ind w:left="1985" w:firstLine="0"/>
      </w:pPr>
      <w:rPr>
        <w:rFonts w:ascii="Arial" w:hAnsi="Arial" w:hint="default"/>
        <w:b w:val="0"/>
        <w:i w:val="0"/>
        <w:color w:val="auto"/>
        <w:sz w:val="22"/>
      </w:rPr>
    </w:lvl>
    <w:lvl w:ilvl="7">
      <w:start w:val="1"/>
      <w:numFmt w:val="none"/>
      <w:lvlRestart w:val="0"/>
      <w:suff w:val="nothing"/>
      <w:lvlText w:val=""/>
      <w:lvlJc w:val="left"/>
      <w:pPr>
        <w:ind w:left="2268" w:firstLine="0"/>
      </w:pPr>
      <w:rPr>
        <w:rFonts w:hint="default"/>
        <w:color w:val="auto"/>
        <w:sz w:val="22"/>
      </w:rPr>
    </w:lvl>
    <w:lvl w:ilvl="8">
      <w:start w:val="1"/>
      <w:numFmt w:val="none"/>
      <w:lvlRestart w:val="0"/>
      <w:suff w:val="nothing"/>
      <w:lvlText w:val=""/>
      <w:lvlJc w:val="left"/>
      <w:pPr>
        <w:ind w:left="2552" w:firstLine="0"/>
      </w:pPr>
      <w:rPr>
        <w:rFonts w:hint="default"/>
        <w:color w:val="auto"/>
      </w:rPr>
    </w:lvl>
  </w:abstractNum>
  <w:abstractNum w:abstractNumId="12" w15:restartNumberingAfterBreak="0">
    <w:nsid w:val="13625C11"/>
    <w:multiLevelType w:val="hybridMultilevel"/>
    <w:tmpl w:val="47723014"/>
    <w:lvl w:ilvl="0" w:tplc="329CD830">
      <w:start w:val="1"/>
      <w:numFmt w:val="decimal"/>
      <w:pStyle w:val="Tabletextnotebullet1"/>
      <w:lvlText w:val="(%1)"/>
      <w:lvlJc w:val="left"/>
      <w:pPr>
        <w:tabs>
          <w:tab w:val="num" w:pos="360"/>
        </w:tabs>
        <w:ind w:left="360" w:hanging="360"/>
      </w:pPr>
      <w:rPr>
        <w:rFonts w:ascii="MetaOT-Book" w:hAnsi="MetaOT-Book" w:hint="default"/>
        <w:sz w:val="1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B051BE"/>
    <w:multiLevelType w:val="hybridMultilevel"/>
    <w:tmpl w:val="6290872A"/>
    <w:lvl w:ilvl="0" w:tplc="B9B019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26B16"/>
    <w:multiLevelType w:val="multilevel"/>
    <w:tmpl w:val="E286D540"/>
    <w:lvl w:ilvl="0">
      <w:start w:val="1"/>
      <w:numFmt w:val="decimal"/>
      <w:pStyle w:val="Heading1"/>
      <w:lvlText w:val="Module 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8F25B39"/>
    <w:multiLevelType w:val="multilevel"/>
    <w:tmpl w:val="F4F4D68E"/>
    <w:lvl w:ilvl="0">
      <w:start w:val="1"/>
      <w:numFmt w:val="decimal"/>
      <w:pStyle w:val="TableListNumb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16" w15:restartNumberingAfterBreak="0">
    <w:nsid w:val="3B29653A"/>
    <w:multiLevelType w:val="hybridMultilevel"/>
    <w:tmpl w:val="2730C658"/>
    <w:lvl w:ilvl="0" w:tplc="C2C0F360">
      <w:start w:val="1"/>
      <w:numFmt w:val="decimal"/>
      <w:pStyle w:val="Glossarynumbering"/>
      <w:lvlText w:val="(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740240"/>
    <w:multiLevelType w:val="multilevel"/>
    <w:tmpl w:val="F448399C"/>
    <w:lvl w:ilvl="0">
      <w:start w:val="1"/>
      <w:numFmt w:val="decimal"/>
      <w:pStyle w:val="AppendixHeading1"/>
      <w:suff w:val="nothing"/>
      <w:lvlText w:val="Appendix %1 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2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484138FC"/>
    <w:multiLevelType w:val="multilevel"/>
    <w:tmpl w:val="0F3CACA2"/>
    <w:lvl w:ilvl="0">
      <w:start w:val="1"/>
      <w:numFmt w:val="decimal"/>
      <w:pStyle w:val="TableBullet"/>
      <w:lvlText w:val="(%1)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363" w:hanging="360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723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08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3" w:hanging="360"/>
      </w:pPr>
      <w:rPr>
        <w:rFonts w:hint="default"/>
      </w:rPr>
    </w:lvl>
  </w:abstractNum>
  <w:abstractNum w:abstractNumId="19" w15:restartNumberingAfterBreak="0">
    <w:nsid w:val="4B6B112A"/>
    <w:multiLevelType w:val="multilevel"/>
    <w:tmpl w:val="4378E41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03058"/>
        <w:sz w:val="48"/>
        <w:szCs w:val="22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78BA2E"/>
        <w:sz w:val="40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03058"/>
        <w:sz w:val="28"/>
        <w:szCs w:val="22"/>
      </w:rPr>
    </w:lvl>
    <w:lvl w:ilvl="3">
      <w:start w:val="1"/>
      <w:numFmt w:val="decimal"/>
      <w:lvlRestart w:val="0"/>
      <w:pStyle w:val="FigureRef"/>
      <w:lvlText w:val="Figure %4"/>
      <w:lvlJc w:val="left"/>
      <w:pPr>
        <w:tabs>
          <w:tab w:val="num" w:pos="1638"/>
        </w:tabs>
        <w:ind w:left="163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418" w:hanging="1418"/>
      </w:pPr>
      <w:rPr>
        <w:rFonts w:ascii="MetaOT-Book" w:hAnsi="MetaOT-Book" w:hint="default"/>
        <w:b/>
        <w:i w:val="0"/>
        <w:color w:val="333333"/>
        <w:sz w:val="20"/>
      </w:rPr>
    </w:lvl>
    <w:lvl w:ilvl="5">
      <w:start w:val="1"/>
      <w:numFmt w:val="decimal"/>
      <w:lvlRestart w:val="3"/>
      <w:pStyle w:val="ListNumber"/>
      <w:lvlText w:val="(%6)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6">
      <w:start w:val="1"/>
      <w:numFmt w:val="lowerLetter"/>
      <w:lvlText w:val="(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2"/>
        <w:szCs w:val="22"/>
      </w:rPr>
    </w:lvl>
    <w:lvl w:ilvl="7">
      <w:start w:val="1"/>
      <w:numFmt w:val="lowerRoman"/>
      <w:lvlRestart w:val="2"/>
      <w:lvlText w:val="(%8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2"/>
        <w:szCs w:val="16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hint="default"/>
        <w:color w:val="auto"/>
      </w:rPr>
    </w:lvl>
  </w:abstractNum>
  <w:abstractNum w:abstractNumId="20" w15:restartNumberingAfterBreak="0">
    <w:nsid w:val="55A6152A"/>
    <w:multiLevelType w:val="hybridMultilevel"/>
    <w:tmpl w:val="8AAC52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9FC8431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F2010"/>
    <w:multiLevelType w:val="multilevel"/>
    <w:tmpl w:val="DDC8FAB0"/>
    <w:lvl w:ilvl="0">
      <w:start w:val="1"/>
      <w:numFmt w:val="lowerLetter"/>
      <w:pStyle w:val="TableList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22" w15:restartNumberingAfterBreak="0">
    <w:nsid w:val="626C21AA"/>
    <w:multiLevelType w:val="multilevel"/>
    <w:tmpl w:val="5538C0F0"/>
    <w:lvl w:ilvl="0">
      <w:start w:val="1"/>
      <w:numFmt w:val="bullet"/>
      <w:pStyle w:val="List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000000"/>
        <w:sz w:val="22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5793C9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ED7F00"/>
      </w:rPr>
    </w:lvl>
  </w:abstractNum>
  <w:abstractNum w:abstractNumId="23" w15:restartNumberingAfterBreak="0">
    <w:nsid w:val="6AFD4763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76C66E2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4"/>
  </w:num>
  <w:num w:numId="2">
    <w:abstractNumId w:val="17"/>
  </w:num>
  <w:num w:numId="3">
    <w:abstractNumId w:val="22"/>
  </w:num>
  <w:num w:numId="4">
    <w:abstractNumId w:val="24"/>
  </w:num>
  <w:num w:numId="5">
    <w:abstractNumId w:val="8"/>
  </w:num>
  <w:num w:numId="6">
    <w:abstractNumId w:val="23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1"/>
  </w:num>
  <w:num w:numId="16">
    <w:abstractNumId w:val="15"/>
  </w:num>
  <w:num w:numId="17">
    <w:abstractNumId w:val="11"/>
  </w:num>
  <w:num w:numId="18">
    <w:abstractNumId w:val="19"/>
  </w:num>
  <w:num w:numId="19">
    <w:abstractNumId w:val="16"/>
  </w:num>
  <w:num w:numId="20">
    <w:abstractNumId w:val="12"/>
  </w:num>
  <w:num w:numId="21">
    <w:abstractNumId w:val="18"/>
  </w:num>
  <w:num w:numId="22">
    <w:abstractNumId w:val="13"/>
  </w:num>
  <w:num w:numId="23">
    <w:abstractNumId w:val="20"/>
  </w:num>
  <w:num w:numId="24">
    <w:abstractNumId w:val="9"/>
  </w:num>
  <w:num w:numId="25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6D8"/>
    <w:rsid w:val="000039F4"/>
    <w:rsid w:val="0001091E"/>
    <w:rsid w:val="0002510C"/>
    <w:rsid w:val="000C0828"/>
    <w:rsid w:val="000C34E3"/>
    <w:rsid w:val="000C4653"/>
    <w:rsid w:val="000C567C"/>
    <w:rsid w:val="000D69C9"/>
    <w:rsid w:val="000E36BA"/>
    <w:rsid w:val="000E7490"/>
    <w:rsid w:val="000E794F"/>
    <w:rsid w:val="000F271D"/>
    <w:rsid w:val="00104B01"/>
    <w:rsid w:val="00111ADA"/>
    <w:rsid w:val="00120F16"/>
    <w:rsid w:val="00146652"/>
    <w:rsid w:val="001525C3"/>
    <w:rsid w:val="00156577"/>
    <w:rsid w:val="001663DF"/>
    <w:rsid w:val="001804D5"/>
    <w:rsid w:val="0019352F"/>
    <w:rsid w:val="00193C5D"/>
    <w:rsid w:val="00193E7B"/>
    <w:rsid w:val="001C5289"/>
    <w:rsid w:val="001C70C0"/>
    <w:rsid w:val="001D4094"/>
    <w:rsid w:val="001E6B1A"/>
    <w:rsid w:val="001F10C6"/>
    <w:rsid w:val="00201EAF"/>
    <w:rsid w:val="00202E9F"/>
    <w:rsid w:val="002101A7"/>
    <w:rsid w:val="0021512A"/>
    <w:rsid w:val="00246DB9"/>
    <w:rsid w:val="00247232"/>
    <w:rsid w:val="0026103D"/>
    <w:rsid w:val="00281EE9"/>
    <w:rsid w:val="00286808"/>
    <w:rsid w:val="00287E60"/>
    <w:rsid w:val="00287FF3"/>
    <w:rsid w:val="00290331"/>
    <w:rsid w:val="00293B8C"/>
    <w:rsid w:val="002B25E3"/>
    <w:rsid w:val="002F71B3"/>
    <w:rsid w:val="00313C1B"/>
    <w:rsid w:val="003549FE"/>
    <w:rsid w:val="0036650E"/>
    <w:rsid w:val="00376B28"/>
    <w:rsid w:val="003D3803"/>
    <w:rsid w:val="003E6A20"/>
    <w:rsid w:val="003F71C9"/>
    <w:rsid w:val="00424BC7"/>
    <w:rsid w:val="004332A1"/>
    <w:rsid w:val="00447977"/>
    <w:rsid w:val="004912EC"/>
    <w:rsid w:val="00491ADD"/>
    <w:rsid w:val="004B0F1E"/>
    <w:rsid w:val="004B6CA4"/>
    <w:rsid w:val="004C50FC"/>
    <w:rsid w:val="004F2AE0"/>
    <w:rsid w:val="004F3FBF"/>
    <w:rsid w:val="00505041"/>
    <w:rsid w:val="00540584"/>
    <w:rsid w:val="0054092F"/>
    <w:rsid w:val="00552CFA"/>
    <w:rsid w:val="00557029"/>
    <w:rsid w:val="00583247"/>
    <w:rsid w:val="005A246A"/>
    <w:rsid w:val="005A6D1D"/>
    <w:rsid w:val="005A7550"/>
    <w:rsid w:val="006038CE"/>
    <w:rsid w:val="00644DFE"/>
    <w:rsid w:val="00657FAD"/>
    <w:rsid w:val="00663D7D"/>
    <w:rsid w:val="00682D53"/>
    <w:rsid w:val="00682EC4"/>
    <w:rsid w:val="006A3B90"/>
    <w:rsid w:val="006A7F04"/>
    <w:rsid w:val="006B32EC"/>
    <w:rsid w:val="006F0478"/>
    <w:rsid w:val="006F36D8"/>
    <w:rsid w:val="006F6771"/>
    <w:rsid w:val="0071097B"/>
    <w:rsid w:val="00730A42"/>
    <w:rsid w:val="007370D3"/>
    <w:rsid w:val="00744A44"/>
    <w:rsid w:val="00756201"/>
    <w:rsid w:val="00761425"/>
    <w:rsid w:val="0076449D"/>
    <w:rsid w:val="00785951"/>
    <w:rsid w:val="0079154C"/>
    <w:rsid w:val="007B4F01"/>
    <w:rsid w:val="007B5A75"/>
    <w:rsid w:val="007D4D30"/>
    <w:rsid w:val="007D7300"/>
    <w:rsid w:val="007F04EB"/>
    <w:rsid w:val="007F37B6"/>
    <w:rsid w:val="007F43CF"/>
    <w:rsid w:val="0082382C"/>
    <w:rsid w:val="008347B7"/>
    <w:rsid w:val="008426C0"/>
    <w:rsid w:val="00852389"/>
    <w:rsid w:val="00857309"/>
    <w:rsid w:val="008B19F9"/>
    <w:rsid w:val="008C62A0"/>
    <w:rsid w:val="0092741D"/>
    <w:rsid w:val="0095228F"/>
    <w:rsid w:val="00963D38"/>
    <w:rsid w:val="00971B51"/>
    <w:rsid w:val="00974393"/>
    <w:rsid w:val="00983C58"/>
    <w:rsid w:val="00991521"/>
    <w:rsid w:val="00996E28"/>
    <w:rsid w:val="009B4A74"/>
    <w:rsid w:val="00A110DE"/>
    <w:rsid w:val="00AC4254"/>
    <w:rsid w:val="00B03B88"/>
    <w:rsid w:val="00B1102D"/>
    <w:rsid w:val="00B20D9C"/>
    <w:rsid w:val="00B60C1E"/>
    <w:rsid w:val="00B80823"/>
    <w:rsid w:val="00B82014"/>
    <w:rsid w:val="00B840A1"/>
    <w:rsid w:val="00B90D04"/>
    <w:rsid w:val="00BB5E39"/>
    <w:rsid w:val="00BB715B"/>
    <w:rsid w:val="00BC3A56"/>
    <w:rsid w:val="00BE06E4"/>
    <w:rsid w:val="00C04F5B"/>
    <w:rsid w:val="00C232D3"/>
    <w:rsid w:val="00C25F18"/>
    <w:rsid w:val="00C316A2"/>
    <w:rsid w:val="00C7106C"/>
    <w:rsid w:val="00C74E85"/>
    <w:rsid w:val="00C858BB"/>
    <w:rsid w:val="00C93B08"/>
    <w:rsid w:val="00CC1B57"/>
    <w:rsid w:val="00CC2D67"/>
    <w:rsid w:val="00CD02B1"/>
    <w:rsid w:val="00CD43FD"/>
    <w:rsid w:val="00CE0F3F"/>
    <w:rsid w:val="00D275DC"/>
    <w:rsid w:val="00D36D7A"/>
    <w:rsid w:val="00D5760E"/>
    <w:rsid w:val="00D62A22"/>
    <w:rsid w:val="00D869A8"/>
    <w:rsid w:val="00D94ED6"/>
    <w:rsid w:val="00D971A8"/>
    <w:rsid w:val="00DA51B6"/>
    <w:rsid w:val="00DB465C"/>
    <w:rsid w:val="00DD61E1"/>
    <w:rsid w:val="00DF02C1"/>
    <w:rsid w:val="00DF619C"/>
    <w:rsid w:val="00E213F3"/>
    <w:rsid w:val="00E30C1E"/>
    <w:rsid w:val="00E313C0"/>
    <w:rsid w:val="00E8705B"/>
    <w:rsid w:val="00E93DBA"/>
    <w:rsid w:val="00EF30A3"/>
    <w:rsid w:val="00F0028F"/>
    <w:rsid w:val="00F02D31"/>
    <w:rsid w:val="00F419CE"/>
    <w:rsid w:val="00F532CE"/>
    <w:rsid w:val="00F65871"/>
    <w:rsid w:val="00F83BE6"/>
    <w:rsid w:val="00FA001D"/>
    <w:rsid w:val="00FA7614"/>
    <w:rsid w:val="00FD7B51"/>
    <w:rsid w:val="00FE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E9A19D6-DA51-460F-B5F6-3FE014CC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utoRedefine/>
    <w:qFormat/>
    <w:rsid w:val="00F0028F"/>
    <w:pPr>
      <w:spacing w:before="60" w:after="60"/>
    </w:pPr>
    <w:rPr>
      <w:rFonts w:ascii="Arial" w:hAnsi="Arial"/>
      <w:b/>
      <w:bCs/>
      <w:sz w:val="22"/>
      <w:szCs w:val="22"/>
    </w:rPr>
  </w:style>
  <w:style w:type="paragraph" w:styleId="Heading1">
    <w:name w:val="heading 1"/>
    <w:next w:val="BodyText"/>
    <w:qFormat/>
    <w:rsid w:val="007370D3"/>
    <w:pPr>
      <w:pageBreakBefore/>
      <w:numPr>
        <w:numId w:val="1"/>
      </w:numPr>
      <w:spacing w:before="360" w:after="120"/>
      <w:outlineLvl w:val="0"/>
    </w:pPr>
    <w:rPr>
      <w:rFonts w:ascii="Arial" w:hAnsi="Arial"/>
      <w:b/>
      <w:color w:val="003058"/>
      <w:sz w:val="36"/>
      <w:szCs w:val="36"/>
    </w:rPr>
  </w:style>
  <w:style w:type="paragraph" w:styleId="Heading2">
    <w:name w:val="heading 2"/>
    <w:next w:val="BodyText"/>
    <w:qFormat/>
    <w:rsid w:val="00EF30A3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color w:val="000000"/>
      <w:sz w:val="24"/>
      <w:szCs w:val="24"/>
    </w:rPr>
  </w:style>
  <w:style w:type="paragraph" w:styleId="Heading3">
    <w:name w:val="heading 3"/>
    <w:next w:val="BodyText"/>
    <w:qFormat/>
    <w:rsid w:val="007370D3"/>
    <w:pPr>
      <w:keepNext/>
      <w:numPr>
        <w:ilvl w:val="2"/>
        <w:numId w:val="1"/>
      </w:numPr>
      <w:spacing w:before="280" w:after="140"/>
      <w:outlineLvl w:val="2"/>
    </w:pPr>
    <w:rPr>
      <w:rFonts w:ascii="Arial" w:hAnsi="Arial"/>
      <w:b/>
      <w:color w:val="003058"/>
      <w:szCs w:val="24"/>
    </w:rPr>
  </w:style>
  <w:style w:type="paragraph" w:styleId="Heading4">
    <w:name w:val="heading 4"/>
    <w:next w:val="BodyText"/>
    <w:qFormat/>
    <w:rsid w:val="007370D3"/>
    <w:pPr>
      <w:keepNext/>
      <w:spacing w:before="240" w:after="120"/>
      <w:outlineLvl w:val="3"/>
    </w:pPr>
    <w:rPr>
      <w:rFonts w:ascii="Arial" w:hAnsi="Arial"/>
      <w:b/>
      <w:color w:val="78BA2E"/>
      <w:sz w:val="24"/>
      <w:szCs w:val="24"/>
    </w:rPr>
  </w:style>
  <w:style w:type="paragraph" w:styleId="Heading5">
    <w:name w:val="heading 5"/>
    <w:next w:val="BodyText"/>
    <w:qFormat/>
    <w:rsid w:val="007370D3"/>
    <w:pPr>
      <w:keepNext/>
      <w:keepLines/>
      <w:numPr>
        <w:ilvl w:val="4"/>
        <w:numId w:val="1"/>
      </w:numPr>
      <w:spacing w:before="220" w:after="100"/>
      <w:outlineLvl w:val="4"/>
    </w:pPr>
    <w:rPr>
      <w:rFonts w:ascii="Arial" w:hAnsi="Arial"/>
      <w:b/>
      <w:sz w:val="22"/>
      <w:szCs w:val="24"/>
    </w:rPr>
  </w:style>
  <w:style w:type="paragraph" w:styleId="Heading6">
    <w:name w:val="heading 6"/>
    <w:next w:val="BodyText"/>
    <w:qFormat/>
    <w:rsid w:val="007370D3"/>
    <w:pPr>
      <w:keepNext/>
      <w:numPr>
        <w:ilvl w:val="5"/>
        <w:numId w:val="1"/>
      </w:numPr>
      <w:spacing w:before="220" w:after="100"/>
      <w:outlineLvl w:val="5"/>
    </w:pPr>
    <w:rPr>
      <w:rFonts w:ascii="Arial" w:hAnsi="Arial"/>
      <w:bCs/>
      <w:i/>
      <w:color w:val="78BA2E"/>
      <w:sz w:val="22"/>
      <w:szCs w:val="22"/>
    </w:rPr>
  </w:style>
  <w:style w:type="paragraph" w:styleId="Heading7">
    <w:name w:val="heading 7"/>
    <w:basedOn w:val="Normal"/>
    <w:next w:val="Normal"/>
    <w:qFormat/>
    <w:rsid w:val="007370D3"/>
    <w:pPr>
      <w:numPr>
        <w:ilvl w:val="6"/>
        <w:numId w:val="1"/>
      </w:numPr>
      <w:spacing w:before="240"/>
      <w:outlineLvl w:val="6"/>
    </w:pPr>
  </w:style>
  <w:style w:type="paragraph" w:styleId="Heading8">
    <w:name w:val="heading 8"/>
    <w:basedOn w:val="Normal"/>
    <w:next w:val="Normal"/>
    <w:qFormat/>
    <w:rsid w:val="007370D3"/>
    <w:pPr>
      <w:numPr>
        <w:ilvl w:val="7"/>
        <w:numId w:val="1"/>
      </w:numPr>
      <w:spacing w:before="24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7370D3"/>
    <w:pPr>
      <w:numPr>
        <w:ilvl w:val="8"/>
        <w:numId w:val="1"/>
      </w:numPr>
      <w:spacing w:before="240"/>
      <w:outlineLvl w:val="8"/>
    </w:pPr>
    <w:rPr>
      <w:rFonts w:ascii="MetaOT-Book" w:hAnsi="MetaOT-Book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70D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370D3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7370D3"/>
    <w:pPr>
      <w:spacing w:after="120"/>
    </w:pPr>
  </w:style>
  <w:style w:type="paragraph" w:customStyle="1" w:styleId="AppendixHeading1">
    <w:name w:val="Appendix Heading 1"/>
    <w:basedOn w:val="Normal"/>
    <w:next w:val="BodyText"/>
    <w:semiHidden/>
    <w:rsid w:val="007370D3"/>
    <w:pPr>
      <w:pageBreakBefore/>
      <w:numPr>
        <w:numId w:val="2"/>
      </w:numPr>
      <w:tabs>
        <w:tab w:val="num" w:pos="360"/>
      </w:tabs>
      <w:spacing w:after="200"/>
    </w:pPr>
    <w:rPr>
      <w:rFonts w:ascii="MetaOT-Book" w:hAnsi="MetaOT-Book"/>
      <w:b w:val="0"/>
      <w:color w:val="003058"/>
      <w:sz w:val="40"/>
      <w:szCs w:val="36"/>
    </w:rPr>
  </w:style>
  <w:style w:type="paragraph" w:styleId="BodyText2">
    <w:name w:val="Body Text 2"/>
    <w:basedOn w:val="Normal"/>
    <w:semiHidden/>
    <w:rsid w:val="007370D3"/>
    <w:pPr>
      <w:spacing w:after="120" w:line="480" w:lineRule="auto"/>
    </w:pPr>
  </w:style>
  <w:style w:type="paragraph" w:styleId="ListBullet">
    <w:name w:val="List Bullet"/>
    <w:link w:val="ListBulletChar"/>
    <w:qFormat/>
    <w:rsid w:val="007370D3"/>
    <w:pPr>
      <w:numPr>
        <w:numId w:val="3"/>
      </w:numPr>
      <w:spacing w:line="276" w:lineRule="auto"/>
    </w:pPr>
    <w:rPr>
      <w:rFonts w:ascii="MetaOT-Book" w:hAnsi="MetaOT-Book"/>
      <w:snapToGrid w:val="0"/>
      <w:szCs w:val="24"/>
    </w:rPr>
  </w:style>
  <w:style w:type="table" w:styleId="TableGrid">
    <w:name w:val="Table Grid"/>
    <w:basedOn w:val="TableNormal"/>
    <w:semiHidden/>
    <w:rsid w:val="007370D3"/>
    <w:rPr>
      <w:rFonts w:ascii="Arial" w:hAnsi="Arial"/>
    </w:rPr>
    <w:tblPr/>
    <w:trPr>
      <w:cantSplit/>
      <w:tblHeader/>
    </w:trPr>
  </w:style>
  <w:style w:type="paragraph" w:styleId="TOC2">
    <w:name w:val="toc 2"/>
    <w:basedOn w:val="Normal"/>
    <w:next w:val="Normal"/>
    <w:autoRedefine/>
    <w:semiHidden/>
    <w:rsid w:val="007370D3"/>
    <w:pPr>
      <w:tabs>
        <w:tab w:val="left" w:pos="1134"/>
        <w:tab w:val="right" w:leader="dot" w:pos="8222"/>
      </w:tabs>
      <w:ind w:left="567"/>
    </w:pPr>
    <w:rPr>
      <w:noProof/>
    </w:rPr>
  </w:style>
  <w:style w:type="paragraph" w:customStyle="1" w:styleId="TableBullet">
    <w:name w:val="Table Bullet"/>
    <w:basedOn w:val="Normal"/>
    <w:link w:val="TableBulletCharChar"/>
    <w:rsid w:val="004B0F1E"/>
    <w:pPr>
      <w:numPr>
        <w:numId w:val="21"/>
      </w:numPr>
      <w:spacing w:after="20"/>
    </w:pPr>
    <w:rPr>
      <w:rFonts w:eastAsia="MS Mincho"/>
      <w:sz w:val="18"/>
      <w:lang w:eastAsia="en-US"/>
    </w:rPr>
  </w:style>
  <w:style w:type="paragraph" w:customStyle="1" w:styleId="TableTextCentre">
    <w:name w:val="Table Text Centre"/>
    <w:basedOn w:val="TableTextLeft"/>
    <w:rsid w:val="007370D3"/>
    <w:pPr>
      <w:jc w:val="center"/>
    </w:pPr>
    <w:rPr>
      <w:lang w:val="en-NZ"/>
    </w:rPr>
  </w:style>
  <w:style w:type="paragraph" w:customStyle="1" w:styleId="TableTextLeft">
    <w:name w:val="Table Text Left"/>
    <w:basedOn w:val="Normal"/>
    <w:link w:val="TableTextLeftCharChar"/>
    <w:rsid w:val="007370D3"/>
    <w:rPr>
      <w:rFonts w:eastAsia="MS Mincho"/>
      <w:sz w:val="18"/>
      <w:lang w:eastAsia="en-US"/>
    </w:rPr>
  </w:style>
  <w:style w:type="character" w:styleId="Hyperlink">
    <w:name w:val="Hyperlink"/>
    <w:rsid w:val="007370D3"/>
    <w:rPr>
      <w:color w:val="0000FF"/>
      <w:u w:val="single"/>
    </w:rPr>
  </w:style>
  <w:style w:type="numbering" w:styleId="111111">
    <w:name w:val="Outline List 2"/>
    <w:basedOn w:val="NoList"/>
    <w:semiHidden/>
    <w:rsid w:val="007370D3"/>
    <w:pPr>
      <w:numPr>
        <w:numId w:val="4"/>
      </w:numPr>
    </w:pPr>
  </w:style>
  <w:style w:type="paragraph" w:customStyle="1" w:styleId="NoHeading3">
    <w:name w:val="No. Heading 3"/>
    <w:basedOn w:val="Heading3"/>
    <w:semiHidden/>
    <w:rsid w:val="007370D3"/>
    <w:pPr>
      <w:numPr>
        <w:numId w:val="18"/>
      </w:numPr>
    </w:pPr>
  </w:style>
  <w:style w:type="paragraph" w:styleId="TOC1">
    <w:name w:val="toc 1"/>
    <w:basedOn w:val="Normal"/>
    <w:next w:val="Normal"/>
    <w:autoRedefine/>
    <w:semiHidden/>
    <w:rsid w:val="007370D3"/>
    <w:pPr>
      <w:tabs>
        <w:tab w:val="left" w:pos="567"/>
        <w:tab w:val="right" w:leader="dot" w:pos="8222"/>
      </w:tabs>
      <w:spacing w:before="120"/>
    </w:pPr>
    <w:rPr>
      <w:noProof/>
      <w:sz w:val="24"/>
    </w:rPr>
  </w:style>
  <w:style w:type="character" w:customStyle="1" w:styleId="Date1">
    <w:name w:val="Date1"/>
    <w:basedOn w:val="DefaultParagraphFont"/>
    <w:semiHidden/>
    <w:rsid w:val="007370D3"/>
  </w:style>
  <w:style w:type="paragraph" w:customStyle="1" w:styleId="Heading">
    <w:name w:val="Heading"/>
    <w:basedOn w:val="Normal"/>
    <w:next w:val="BodyText"/>
    <w:semiHidden/>
    <w:qFormat/>
    <w:rsid w:val="007370D3"/>
    <w:pPr>
      <w:pageBreakBefore/>
      <w:spacing w:before="200" w:after="200"/>
    </w:pPr>
    <w:rPr>
      <w:b w:val="0"/>
      <w:color w:val="003058"/>
      <w:sz w:val="40"/>
      <w:szCs w:val="36"/>
    </w:rPr>
  </w:style>
  <w:style w:type="paragraph" w:customStyle="1" w:styleId="AppendixHeading3">
    <w:name w:val="Appendix Heading 3"/>
    <w:basedOn w:val="Normal"/>
    <w:next w:val="BodyText"/>
    <w:semiHidden/>
    <w:rsid w:val="007370D3"/>
    <w:pPr>
      <w:spacing w:before="240" w:after="120"/>
    </w:pPr>
    <w:rPr>
      <w:rFonts w:ascii="Arial Bold" w:hAnsi="Arial Bold"/>
      <w:b w:val="0"/>
      <w:sz w:val="24"/>
    </w:rPr>
  </w:style>
  <w:style w:type="paragraph" w:customStyle="1" w:styleId="Blockquotation">
    <w:name w:val="Block quotation"/>
    <w:basedOn w:val="BodyText"/>
    <w:semiHidden/>
    <w:qFormat/>
    <w:rsid w:val="007370D3"/>
    <w:pPr>
      <w:spacing w:before="120" w:after="100" w:line="276" w:lineRule="auto"/>
      <w:ind w:left="567" w:right="567"/>
      <w:jc w:val="both"/>
    </w:pPr>
    <w:rPr>
      <w:noProof/>
      <w:sz w:val="20"/>
      <w:lang w:eastAsia="en-US"/>
    </w:rPr>
  </w:style>
  <w:style w:type="paragraph" w:styleId="ListNumber">
    <w:name w:val="List Number"/>
    <w:basedOn w:val="Normal"/>
    <w:link w:val="ListNumberChar"/>
    <w:rsid w:val="007370D3"/>
    <w:pPr>
      <w:numPr>
        <w:ilvl w:val="5"/>
        <w:numId w:val="18"/>
      </w:numPr>
      <w:spacing w:line="276" w:lineRule="auto"/>
    </w:pPr>
    <w:rPr>
      <w:color w:val="000000"/>
    </w:rPr>
  </w:style>
  <w:style w:type="table" w:customStyle="1" w:styleId="GreenAlternatingTable">
    <w:name w:val="Green Alternating Table"/>
    <w:basedOn w:val="TableNormal"/>
    <w:semiHidden/>
    <w:rsid w:val="007370D3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78BA2E"/>
      </w:tcPr>
    </w:tblStylePr>
    <w:tblStylePr w:type="band2Horz">
      <w:rPr>
        <w:rFonts w:ascii="Arial" w:hAnsi="Arial"/>
      </w:rPr>
      <w:tblPr/>
      <w:tcPr>
        <w:shd w:val="clear" w:color="auto" w:fill="CBEAA8"/>
      </w:tcPr>
    </w:tblStylePr>
  </w:style>
  <w:style w:type="paragraph" w:customStyle="1" w:styleId="SectionHeading">
    <w:name w:val="Section Heading"/>
    <w:basedOn w:val="Normal"/>
    <w:semiHidden/>
    <w:rsid w:val="007370D3"/>
    <w:pPr>
      <w:tabs>
        <w:tab w:val="num" w:pos="1134"/>
      </w:tabs>
      <w:ind w:hanging="567"/>
    </w:pPr>
    <w:rPr>
      <w:sz w:val="48"/>
    </w:rPr>
  </w:style>
  <w:style w:type="character" w:customStyle="1" w:styleId="SectionNo">
    <w:name w:val="Section No"/>
    <w:semiHidden/>
    <w:rsid w:val="007370D3"/>
    <w:rPr>
      <w:rFonts w:ascii="Arial" w:hAnsi="Arial"/>
      <w:b/>
      <w:sz w:val="20"/>
    </w:rPr>
  </w:style>
  <w:style w:type="character" w:customStyle="1" w:styleId="BodyTextItalics">
    <w:name w:val="Body Text Italics"/>
    <w:semiHidden/>
    <w:rsid w:val="007370D3"/>
    <w:rPr>
      <w:rFonts w:ascii="Arial" w:hAnsi="Arial"/>
      <w:i/>
      <w:sz w:val="20"/>
      <w:lang w:val="en-AU"/>
    </w:rPr>
  </w:style>
  <w:style w:type="character" w:customStyle="1" w:styleId="BoldEmphasis">
    <w:name w:val="Bold Emphasis"/>
    <w:semiHidden/>
    <w:rsid w:val="007370D3"/>
    <w:rPr>
      <w:b/>
    </w:rPr>
  </w:style>
  <w:style w:type="paragraph" w:styleId="TOC3">
    <w:name w:val="toc 3"/>
    <w:basedOn w:val="Normal"/>
    <w:next w:val="Normal"/>
    <w:autoRedefine/>
    <w:semiHidden/>
    <w:rsid w:val="007370D3"/>
    <w:pPr>
      <w:tabs>
        <w:tab w:val="left" w:pos="1701"/>
        <w:tab w:val="right" w:leader="dot" w:pos="8222"/>
      </w:tabs>
      <w:ind w:left="1134"/>
    </w:pPr>
    <w:rPr>
      <w:noProof/>
    </w:rPr>
  </w:style>
  <w:style w:type="paragraph" w:styleId="BodyText3">
    <w:name w:val="Body Text 3"/>
    <w:basedOn w:val="Normal"/>
    <w:semiHidden/>
    <w:rsid w:val="007370D3"/>
    <w:pPr>
      <w:spacing w:after="120"/>
    </w:pPr>
  </w:style>
  <w:style w:type="table" w:customStyle="1" w:styleId="GreyTable">
    <w:name w:val="Grey Table"/>
    <w:basedOn w:val="TableNormal"/>
    <w:semiHidden/>
    <w:rsid w:val="007370D3"/>
    <w:rPr>
      <w:rFonts w:ascii="Arial" w:hAnsi="Arial"/>
    </w:rPr>
    <w:tblPr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rPr>
      <w:cantSplit/>
    </w:trPr>
    <w:tblStylePr w:type="firstRow">
      <w:rPr>
        <w:b w:val="0"/>
      </w:rPr>
      <w:tblPr/>
      <w:trPr>
        <w:tblHeader/>
      </w:trPr>
      <w:tcPr>
        <w:shd w:val="clear" w:color="auto" w:fill="E6E6E6"/>
      </w:tcPr>
    </w:tblStylePr>
  </w:style>
  <w:style w:type="paragraph" w:customStyle="1" w:styleId="text">
    <w:name w:val="text"/>
    <w:next w:val="Normal"/>
    <w:autoRedefine/>
    <w:semiHidden/>
    <w:rsid w:val="007370D3"/>
    <w:pPr>
      <w:widowControl w:val="0"/>
      <w:tabs>
        <w:tab w:val="left" w:pos="567"/>
        <w:tab w:val="left" w:pos="1134"/>
      </w:tabs>
      <w:spacing w:after="120"/>
    </w:pPr>
    <w:rPr>
      <w:rFonts w:ascii="Arial" w:hAnsi="Arial"/>
      <w:b/>
      <w:snapToGrid w:val="0"/>
      <w:sz w:val="22"/>
      <w:lang w:val="en-NZ" w:eastAsia="en-US"/>
    </w:rPr>
  </w:style>
  <w:style w:type="paragraph" w:styleId="Title">
    <w:name w:val="Title"/>
    <w:basedOn w:val="Normal"/>
    <w:next w:val="Subtitle"/>
    <w:link w:val="TitleChar"/>
    <w:qFormat/>
    <w:rsid w:val="007370D3"/>
    <w:pPr>
      <w:spacing w:after="480"/>
    </w:pPr>
    <w:rPr>
      <w:b w:val="0"/>
      <w:color w:val="FFFFFF"/>
      <w:sz w:val="48"/>
      <w:szCs w:val="52"/>
      <w:lang w:eastAsia="en-US"/>
    </w:rPr>
  </w:style>
  <w:style w:type="character" w:customStyle="1" w:styleId="DocProjectName">
    <w:name w:val="DocProjectName"/>
    <w:basedOn w:val="DefaultParagraphFont"/>
    <w:semiHidden/>
    <w:rsid w:val="007370D3"/>
  </w:style>
  <w:style w:type="character" w:customStyle="1" w:styleId="DocTitle">
    <w:name w:val="DocTitle"/>
    <w:basedOn w:val="DefaultParagraphFont"/>
    <w:semiHidden/>
    <w:rsid w:val="007370D3"/>
  </w:style>
  <w:style w:type="paragraph" w:customStyle="1" w:styleId="AppendixHeading2">
    <w:name w:val="Appendix Heading 2"/>
    <w:basedOn w:val="Normal"/>
    <w:next w:val="BodyText"/>
    <w:semiHidden/>
    <w:rsid w:val="007370D3"/>
    <w:pPr>
      <w:spacing w:before="280" w:after="140"/>
    </w:pPr>
    <w:rPr>
      <w:b w:val="0"/>
      <w:sz w:val="28"/>
    </w:rPr>
  </w:style>
  <w:style w:type="character" w:customStyle="1" w:styleId="DocSubTitle">
    <w:name w:val="DocSubTitle"/>
    <w:basedOn w:val="DefaultParagraphFont"/>
    <w:semiHidden/>
    <w:rsid w:val="007370D3"/>
  </w:style>
  <w:style w:type="paragraph" w:styleId="ListParagraph">
    <w:name w:val="List Paragraph"/>
    <w:basedOn w:val="BodyText"/>
    <w:qFormat/>
    <w:rsid w:val="007370D3"/>
    <w:pPr>
      <w:numPr>
        <w:numId w:val="17"/>
      </w:numPr>
      <w:spacing w:before="120" w:line="276" w:lineRule="auto"/>
    </w:pPr>
    <w:rPr>
      <w:sz w:val="20"/>
    </w:rPr>
  </w:style>
  <w:style w:type="paragraph" w:customStyle="1" w:styleId="TableHeadingCentre-Black">
    <w:name w:val="Table Heading Centre - Black"/>
    <w:basedOn w:val="Normal"/>
    <w:rsid w:val="007370D3"/>
    <w:pPr>
      <w:spacing w:after="40"/>
      <w:jc w:val="center"/>
    </w:pPr>
    <w:rPr>
      <w:rFonts w:eastAsia="MS Mincho"/>
      <w:b w:val="0"/>
      <w:lang w:val="en-NZ" w:eastAsia="en-US"/>
    </w:rPr>
  </w:style>
  <w:style w:type="paragraph" w:customStyle="1" w:styleId="TableTitle">
    <w:name w:val="Table Title"/>
    <w:basedOn w:val="Heading5"/>
    <w:semiHidden/>
    <w:rsid w:val="007370D3"/>
    <w:pPr>
      <w:numPr>
        <w:numId w:val="17"/>
      </w:numPr>
    </w:pPr>
    <w:rPr>
      <w:rFonts w:ascii="Gill Sans MT" w:hAnsi="Gill Sans MT"/>
      <w:color w:val="000000"/>
      <w:sz w:val="18"/>
    </w:rPr>
  </w:style>
  <w:style w:type="paragraph" w:customStyle="1" w:styleId="DueDate">
    <w:name w:val="DueDate"/>
    <w:semiHidden/>
    <w:rsid w:val="007370D3"/>
    <w:pPr>
      <w:spacing w:before="80"/>
      <w:ind w:left="284"/>
    </w:pPr>
    <w:rPr>
      <w:rFonts w:ascii="Gill Sans MT" w:hAnsi="Gill Sans MT" w:cs="Arial"/>
      <w:color w:val="003366"/>
      <w:sz w:val="28"/>
      <w:szCs w:val="28"/>
      <w:lang w:eastAsia="en-US"/>
    </w:rPr>
  </w:style>
  <w:style w:type="paragraph" w:customStyle="1" w:styleId="TableHeadingLeft-Grey">
    <w:name w:val="Table Heading Left - Grey"/>
    <w:basedOn w:val="Normal"/>
    <w:rsid w:val="007370D3"/>
    <w:pPr>
      <w:spacing w:after="40"/>
    </w:pPr>
    <w:rPr>
      <w:rFonts w:eastAsia="MS Mincho"/>
      <w:b w:val="0"/>
      <w:color w:val="333333"/>
      <w:sz w:val="18"/>
      <w:lang w:eastAsia="en-US"/>
    </w:rPr>
  </w:style>
  <w:style w:type="paragraph" w:customStyle="1" w:styleId="TableListNumber">
    <w:name w:val="Table List Number"/>
    <w:basedOn w:val="Normal"/>
    <w:semiHidden/>
    <w:rsid w:val="007370D3"/>
    <w:pPr>
      <w:numPr>
        <w:numId w:val="16"/>
      </w:numPr>
      <w:spacing w:after="40"/>
    </w:pPr>
    <w:rPr>
      <w:rFonts w:eastAsia="MS Mincho"/>
      <w:sz w:val="18"/>
      <w:lang w:eastAsia="en-US"/>
    </w:rPr>
  </w:style>
  <w:style w:type="paragraph" w:customStyle="1" w:styleId="TableListLetter">
    <w:name w:val="Table List Letter"/>
    <w:basedOn w:val="Normal"/>
    <w:semiHidden/>
    <w:rsid w:val="007370D3"/>
    <w:pPr>
      <w:numPr>
        <w:numId w:val="15"/>
      </w:numPr>
      <w:spacing w:after="40"/>
    </w:pPr>
    <w:rPr>
      <w:rFonts w:eastAsia="MS Mincho"/>
      <w:sz w:val="18"/>
      <w:lang w:eastAsia="en-US"/>
    </w:rPr>
  </w:style>
  <w:style w:type="table" w:customStyle="1" w:styleId="Table-Standard1">
    <w:name w:val="Table-Standard1"/>
    <w:basedOn w:val="TableNormal"/>
    <w:semiHidden/>
    <w:rsid w:val="007370D3"/>
    <w:rPr>
      <w:rFonts w:ascii="Arial" w:hAnsi="Arial"/>
    </w:rPr>
    <w:tblPr>
      <w:tblBorders>
        <w:bottom w:val="single" w:sz="4" w:space="0" w:color="5793C9"/>
        <w:insideH w:val="single" w:sz="4" w:space="0" w:color="5793C9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 w:val="0"/>
        <w:color w:val="003366"/>
        <w:sz w:val="20"/>
      </w:rPr>
      <w:tblPr/>
      <w:tcPr>
        <w:tcBorders>
          <w:insideV w:val="single" w:sz="12" w:space="0" w:color="FFFFFF"/>
        </w:tcBorders>
        <w:shd w:val="clear" w:color="auto" w:fill="CCBEB6"/>
      </w:tcPr>
    </w:tblStylePr>
    <w:tblStylePr w:type="lastRow">
      <w:rPr>
        <w:rFonts w:ascii="Arial" w:hAnsi="Arial"/>
        <w:sz w:val="20"/>
      </w:rPr>
    </w:tblStylePr>
  </w:style>
  <w:style w:type="paragraph" w:customStyle="1" w:styleId="ProjectName">
    <w:name w:val="Project Name"/>
    <w:semiHidden/>
    <w:rsid w:val="007370D3"/>
    <w:rPr>
      <w:rFonts w:ascii="Arial" w:hAnsi="Arial" w:cs="Arial"/>
      <w:color w:val="009FDA"/>
      <w:sz w:val="48"/>
      <w:szCs w:val="24"/>
    </w:rPr>
  </w:style>
  <w:style w:type="paragraph" w:styleId="Subtitle">
    <w:name w:val="Subtitle"/>
    <w:qFormat/>
    <w:rsid w:val="007370D3"/>
    <w:pPr>
      <w:spacing w:after="960"/>
      <w:outlineLvl w:val="1"/>
    </w:pPr>
    <w:rPr>
      <w:rFonts w:ascii="Arial" w:hAnsi="Arial" w:cs="Arial"/>
      <w:color w:val="FFFFFF"/>
      <w:sz w:val="40"/>
      <w:szCs w:val="24"/>
    </w:rPr>
  </w:style>
  <w:style w:type="paragraph" w:customStyle="1" w:styleId="TableHeadingLeft-White">
    <w:name w:val="Table Heading Left - White"/>
    <w:basedOn w:val="TableHeadingLeft-Grey"/>
    <w:rsid w:val="007370D3"/>
    <w:rPr>
      <w:color w:val="FFFFFF"/>
      <w:lang w:val="en-NZ"/>
    </w:rPr>
  </w:style>
  <w:style w:type="character" w:customStyle="1" w:styleId="DocDate">
    <w:name w:val="DocDate"/>
    <w:basedOn w:val="DefaultParagraphFont"/>
    <w:semiHidden/>
    <w:rsid w:val="007370D3"/>
  </w:style>
  <w:style w:type="numbering" w:styleId="1ai">
    <w:name w:val="Outline List 1"/>
    <w:basedOn w:val="NoList"/>
    <w:semiHidden/>
    <w:rsid w:val="007370D3"/>
    <w:pPr>
      <w:numPr>
        <w:numId w:val="5"/>
      </w:numPr>
    </w:pPr>
  </w:style>
  <w:style w:type="numbering" w:styleId="ArticleSection">
    <w:name w:val="Outline List 3"/>
    <w:basedOn w:val="NoList"/>
    <w:semiHidden/>
    <w:rsid w:val="007370D3"/>
    <w:pPr>
      <w:numPr>
        <w:numId w:val="6"/>
      </w:numPr>
    </w:pPr>
  </w:style>
  <w:style w:type="paragraph" w:styleId="BlockText">
    <w:name w:val="Block Text"/>
    <w:basedOn w:val="Normal"/>
    <w:semiHidden/>
    <w:rsid w:val="007370D3"/>
    <w:pPr>
      <w:spacing w:after="120"/>
      <w:ind w:left="1440" w:right="1440"/>
    </w:pPr>
  </w:style>
  <w:style w:type="paragraph" w:styleId="BodyTextFirstIndent">
    <w:name w:val="Body Text First Indent"/>
    <w:basedOn w:val="BodyText"/>
    <w:semiHidden/>
    <w:rsid w:val="007370D3"/>
    <w:pPr>
      <w:spacing w:before="120" w:after="100"/>
      <w:ind w:firstLine="210"/>
    </w:pPr>
  </w:style>
  <w:style w:type="paragraph" w:styleId="BodyTextIndent">
    <w:name w:val="Body Text Indent"/>
    <w:basedOn w:val="Normal"/>
    <w:semiHidden/>
    <w:rsid w:val="007370D3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7370D3"/>
    <w:pPr>
      <w:ind w:firstLine="210"/>
    </w:pPr>
  </w:style>
  <w:style w:type="paragraph" w:styleId="BodyTextIndent2">
    <w:name w:val="Body Text Indent 2"/>
    <w:basedOn w:val="Normal"/>
    <w:semiHidden/>
    <w:rsid w:val="007370D3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7370D3"/>
    <w:pPr>
      <w:spacing w:after="120"/>
      <w:ind w:left="283"/>
    </w:pPr>
  </w:style>
  <w:style w:type="paragraph" w:styleId="Caption">
    <w:name w:val="caption"/>
    <w:basedOn w:val="Normal"/>
    <w:next w:val="BodyText"/>
    <w:qFormat/>
    <w:rsid w:val="007370D3"/>
    <w:pPr>
      <w:spacing w:after="240"/>
    </w:pPr>
    <w:rPr>
      <w:b w:val="0"/>
      <w:bCs w:val="0"/>
      <w:szCs w:val="20"/>
    </w:rPr>
  </w:style>
  <w:style w:type="paragraph" w:styleId="Closing">
    <w:name w:val="Closing"/>
    <w:basedOn w:val="Normal"/>
    <w:semiHidden/>
    <w:rsid w:val="007370D3"/>
    <w:pPr>
      <w:ind w:left="4252"/>
    </w:pPr>
  </w:style>
  <w:style w:type="paragraph" w:styleId="Date">
    <w:name w:val="Date"/>
    <w:basedOn w:val="Normal"/>
    <w:next w:val="Normal"/>
    <w:semiHidden/>
    <w:rsid w:val="007370D3"/>
  </w:style>
  <w:style w:type="paragraph" w:styleId="E-mailSignature">
    <w:name w:val="E-mail Signature"/>
    <w:basedOn w:val="Normal"/>
    <w:semiHidden/>
    <w:rsid w:val="007370D3"/>
  </w:style>
  <w:style w:type="character" w:styleId="Emphasis">
    <w:name w:val="Emphasis"/>
    <w:qFormat/>
    <w:rsid w:val="007370D3"/>
    <w:rPr>
      <w:i/>
      <w:iCs/>
    </w:rPr>
  </w:style>
  <w:style w:type="paragraph" w:styleId="EnvelopeAddress">
    <w:name w:val="envelope address"/>
    <w:basedOn w:val="Normal"/>
    <w:semiHidden/>
    <w:rsid w:val="007370D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semiHidden/>
    <w:rsid w:val="007370D3"/>
    <w:rPr>
      <w:szCs w:val="20"/>
    </w:rPr>
  </w:style>
  <w:style w:type="character" w:styleId="FollowedHyperlink">
    <w:name w:val="FollowedHyperlink"/>
    <w:semiHidden/>
    <w:rsid w:val="007370D3"/>
    <w:rPr>
      <w:color w:val="800080"/>
      <w:u w:val="single"/>
    </w:rPr>
  </w:style>
  <w:style w:type="character" w:styleId="HTMLAcronym">
    <w:name w:val="HTML Acronym"/>
    <w:basedOn w:val="DefaultParagraphFont"/>
    <w:semiHidden/>
    <w:rsid w:val="007370D3"/>
  </w:style>
  <w:style w:type="paragraph" w:styleId="HTMLAddress">
    <w:name w:val="HTML Address"/>
    <w:basedOn w:val="Normal"/>
    <w:semiHidden/>
    <w:rsid w:val="007370D3"/>
    <w:rPr>
      <w:i/>
      <w:iCs/>
    </w:rPr>
  </w:style>
  <w:style w:type="character" w:styleId="HTMLCite">
    <w:name w:val="HTML Cite"/>
    <w:semiHidden/>
    <w:rsid w:val="007370D3"/>
    <w:rPr>
      <w:i/>
      <w:iCs/>
    </w:rPr>
  </w:style>
  <w:style w:type="character" w:styleId="HTMLCode">
    <w:name w:val="HTML Code"/>
    <w:semiHidden/>
    <w:rsid w:val="007370D3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370D3"/>
    <w:rPr>
      <w:i/>
      <w:iCs/>
    </w:rPr>
  </w:style>
  <w:style w:type="character" w:styleId="HTMLKeyboard">
    <w:name w:val="HTML Keyboard"/>
    <w:semiHidden/>
    <w:rsid w:val="007370D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7370D3"/>
    <w:rPr>
      <w:rFonts w:ascii="Courier New" w:hAnsi="Courier New" w:cs="Courier New"/>
      <w:szCs w:val="20"/>
    </w:rPr>
  </w:style>
  <w:style w:type="character" w:styleId="HTMLSample">
    <w:name w:val="HTML Sample"/>
    <w:semiHidden/>
    <w:rsid w:val="007370D3"/>
    <w:rPr>
      <w:rFonts w:ascii="Courier New" w:hAnsi="Courier New" w:cs="Courier New"/>
    </w:rPr>
  </w:style>
  <w:style w:type="character" w:styleId="HTMLTypewriter">
    <w:name w:val="HTML Typewriter"/>
    <w:semiHidden/>
    <w:rsid w:val="007370D3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370D3"/>
    <w:rPr>
      <w:i/>
      <w:iCs/>
    </w:rPr>
  </w:style>
  <w:style w:type="character" w:styleId="LineNumber">
    <w:name w:val="line number"/>
    <w:basedOn w:val="DefaultParagraphFont"/>
    <w:semiHidden/>
    <w:rsid w:val="007370D3"/>
  </w:style>
  <w:style w:type="paragraph" w:styleId="List">
    <w:name w:val="List"/>
    <w:basedOn w:val="Normal"/>
    <w:semiHidden/>
    <w:rsid w:val="007370D3"/>
    <w:pPr>
      <w:ind w:left="283" w:hanging="283"/>
    </w:pPr>
  </w:style>
  <w:style w:type="paragraph" w:styleId="List2">
    <w:name w:val="List 2"/>
    <w:basedOn w:val="Normal"/>
    <w:semiHidden/>
    <w:rsid w:val="007370D3"/>
    <w:pPr>
      <w:ind w:left="566" w:hanging="283"/>
    </w:pPr>
  </w:style>
  <w:style w:type="paragraph" w:styleId="List3">
    <w:name w:val="List 3"/>
    <w:basedOn w:val="Normal"/>
    <w:semiHidden/>
    <w:rsid w:val="007370D3"/>
    <w:pPr>
      <w:ind w:left="849" w:hanging="283"/>
    </w:pPr>
  </w:style>
  <w:style w:type="paragraph" w:styleId="List4">
    <w:name w:val="List 4"/>
    <w:basedOn w:val="Normal"/>
    <w:semiHidden/>
    <w:rsid w:val="007370D3"/>
    <w:pPr>
      <w:ind w:left="1132" w:hanging="283"/>
    </w:pPr>
  </w:style>
  <w:style w:type="paragraph" w:styleId="List5">
    <w:name w:val="List 5"/>
    <w:basedOn w:val="Normal"/>
    <w:semiHidden/>
    <w:rsid w:val="007370D3"/>
    <w:pPr>
      <w:ind w:left="1415" w:hanging="283"/>
    </w:pPr>
  </w:style>
  <w:style w:type="paragraph" w:styleId="ListBullet2">
    <w:name w:val="List Bullet 2"/>
    <w:basedOn w:val="Normal"/>
    <w:semiHidden/>
    <w:rsid w:val="007370D3"/>
    <w:pPr>
      <w:numPr>
        <w:numId w:val="7"/>
      </w:numPr>
    </w:pPr>
  </w:style>
  <w:style w:type="paragraph" w:styleId="ListBullet3">
    <w:name w:val="List Bullet 3"/>
    <w:basedOn w:val="Normal"/>
    <w:semiHidden/>
    <w:rsid w:val="007370D3"/>
    <w:pPr>
      <w:numPr>
        <w:numId w:val="8"/>
      </w:numPr>
    </w:pPr>
  </w:style>
  <w:style w:type="paragraph" w:styleId="ListBullet4">
    <w:name w:val="List Bullet 4"/>
    <w:basedOn w:val="Normal"/>
    <w:semiHidden/>
    <w:rsid w:val="007370D3"/>
    <w:pPr>
      <w:numPr>
        <w:numId w:val="9"/>
      </w:numPr>
    </w:pPr>
  </w:style>
  <w:style w:type="paragraph" w:styleId="ListBullet5">
    <w:name w:val="List Bullet 5"/>
    <w:basedOn w:val="Normal"/>
    <w:semiHidden/>
    <w:rsid w:val="007370D3"/>
    <w:pPr>
      <w:numPr>
        <w:numId w:val="10"/>
      </w:numPr>
    </w:pPr>
  </w:style>
  <w:style w:type="paragraph" w:styleId="ListContinue">
    <w:name w:val="List Continue"/>
    <w:basedOn w:val="Normal"/>
    <w:semiHidden/>
    <w:rsid w:val="007370D3"/>
    <w:pPr>
      <w:spacing w:after="120"/>
      <w:ind w:left="283"/>
    </w:pPr>
  </w:style>
  <w:style w:type="paragraph" w:styleId="ListContinue2">
    <w:name w:val="List Continue 2"/>
    <w:basedOn w:val="Normal"/>
    <w:semiHidden/>
    <w:rsid w:val="007370D3"/>
    <w:pPr>
      <w:spacing w:after="120"/>
      <w:ind w:left="566"/>
    </w:pPr>
  </w:style>
  <w:style w:type="paragraph" w:styleId="ListContinue3">
    <w:name w:val="List Continue 3"/>
    <w:basedOn w:val="Normal"/>
    <w:semiHidden/>
    <w:rsid w:val="007370D3"/>
    <w:pPr>
      <w:spacing w:after="120"/>
      <w:ind w:left="849"/>
    </w:pPr>
  </w:style>
  <w:style w:type="paragraph" w:styleId="ListContinue4">
    <w:name w:val="List Continue 4"/>
    <w:basedOn w:val="Normal"/>
    <w:semiHidden/>
    <w:rsid w:val="007370D3"/>
    <w:pPr>
      <w:spacing w:after="120"/>
      <w:ind w:left="1132"/>
    </w:pPr>
  </w:style>
  <w:style w:type="paragraph" w:styleId="ListContinue5">
    <w:name w:val="List Continue 5"/>
    <w:basedOn w:val="Normal"/>
    <w:semiHidden/>
    <w:rsid w:val="007370D3"/>
    <w:pPr>
      <w:spacing w:after="120"/>
      <w:ind w:left="1415"/>
    </w:pPr>
  </w:style>
  <w:style w:type="paragraph" w:styleId="ListNumber2">
    <w:name w:val="List Number 2"/>
    <w:basedOn w:val="Normal"/>
    <w:semiHidden/>
    <w:rsid w:val="007370D3"/>
    <w:pPr>
      <w:numPr>
        <w:numId w:val="11"/>
      </w:numPr>
    </w:pPr>
  </w:style>
  <w:style w:type="paragraph" w:styleId="ListNumber3">
    <w:name w:val="List Number 3"/>
    <w:basedOn w:val="Normal"/>
    <w:semiHidden/>
    <w:rsid w:val="007370D3"/>
    <w:pPr>
      <w:numPr>
        <w:numId w:val="12"/>
      </w:numPr>
    </w:pPr>
  </w:style>
  <w:style w:type="paragraph" w:styleId="ListNumber4">
    <w:name w:val="List Number 4"/>
    <w:basedOn w:val="Normal"/>
    <w:semiHidden/>
    <w:rsid w:val="007370D3"/>
    <w:pPr>
      <w:numPr>
        <w:numId w:val="13"/>
      </w:numPr>
    </w:pPr>
  </w:style>
  <w:style w:type="paragraph" w:styleId="ListNumber5">
    <w:name w:val="List Number 5"/>
    <w:basedOn w:val="Normal"/>
    <w:semiHidden/>
    <w:rsid w:val="007370D3"/>
    <w:pPr>
      <w:numPr>
        <w:numId w:val="14"/>
      </w:numPr>
    </w:pPr>
  </w:style>
  <w:style w:type="paragraph" w:styleId="MessageHeader">
    <w:name w:val="Message Header"/>
    <w:basedOn w:val="Normal"/>
    <w:semiHidden/>
    <w:rsid w:val="007370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ormalWeb">
    <w:name w:val="Normal (Web)"/>
    <w:basedOn w:val="Normal"/>
    <w:semiHidden/>
    <w:rsid w:val="007370D3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7370D3"/>
    <w:pPr>
      <w:ind w:left="720"/>
    </w:pPr>
  </w:style>
  <w:style w:type="paragraph" w:styleId="NoteHeading">
    <w:name w:val="Note Heading"/>
    <w:basedOn w:val="Normal"/>
    <w:next w:val="Normal"/>
    <w:semiHidden/>
    <w:rsid w:val="007370D3"/>
  </w:style>
  <w:style w:type="paragraph" w:styleId="PlainText">
    <w:name w:val="Plain Text"/>
    <w:basedOn w:val="Normal"/>
    <w:semiHidden/>
    <w:rsid w:val="007370D3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7370D3"/>
  </w:style>
  <w:style w:type="paragraph" w:styleId="Signature">
    <w:name w:val="Signature"/>
    <w:basedOn w:val="Normal"/>
    <w:semiHidden/>
    <w:rsid w:val="007370D3"/>
    <w:pPr>
      <w:ind w:left="4252"/>
    </w:pPr>
  </w:style>
  <w:style w:type="character" w:styleId="Strong">
    <w:name w:val="Strong"/>
    <w:qFormat/>
    <w:rsid w:val="007370D3"/>
    <w:rPr>
      <w:b/>
      <w:bCs/>
    </w:rPr>
  </w:style>
  <w:style w:type="table" w:styleId="Table3Deffects1">
    <w:name w:val="Table 3D effects 1"/>
    <w:basedOn w:val="TableNormal"/>
    <w:semiHidden/>
    <w:rsid w:val="007370D3"/>
    <w:pPr>
      <w:numPr>
        <w:ilvl w:val="1"/>
        <w:numId w:val="2"/>
      </w:numPr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370D3"/>
    <w:pPr>
      <w:numPr>
        <w:ilvl w:val="1"/>
        <w:numId w:val="2"/>
      </w:numPr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370D3"/>
    <w:pPr>
      <w:numPr>
        <w:ilvl w:val="1"/>
        <w:numId w:val="2"/>
      </w:numPr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370D3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370D3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370D3"/>
    <w:pPr>
      <w:numPr>
        <w:ilvl w:val="1"/>
        <w:numId w:val="2"/>
      </w:numPr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370D3"/>
    <w:pPr>
      <w:numPr>
        <w:ilvl w:val="1"/>
        <w:numId w:val="2"/>
      </w:numPr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370D3"/>
    <w:pPr>
      <w:numPr>
        <w:ilvl w:val="1"/>
        <w:numId w:val="2"/>
      </w:numPr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370D3"/>
    <w:pPr>
      <w:numPr>
        <w:ilvl w:val="1"/>
        <w:numId w:val="2"/>
      </w:numPr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370D3"/>
    <w:pPr>
      <w:numPr>
        <w:ilvl w:val="1"/>
        <w:numId w:val="2"/>
      </w:numPr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370D3"/>
    <w:pPr>
      <w:numPr>
        <w:ilvl w:val="1"/>
        <w:numId w:val="2"/>
      </w:numPr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370D3"/>
    <w:pPr>
      <w:numPr>
        <w:ilvl w:val="1"/>
        <w:numId w:val="2"/>
      </w:numPr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370D3"/>
    <w:pPr>
      <w:numPr>
        <w:ilvl w:val="1"/>
        <w:numId w:val="2"/>
      </w:numPr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370D3"/>
    <w:pPr>
      <w:numPr>
        <w:ilvl w:val="1"/>
        <w:numId w:val="2"/>
      </w:numPr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370D3"/>
    <w:pPr>
      <w:numPr>
        <w:ilvl w:val="1"/>
        <w:numId w:val="2"/>
      </w:numPr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370D3"/>
    <w:pPr>
      <w:numPr>
        <w:ilvl w:val="1"/>
        <w:numId w:val="2"/>
      </w:numPr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370D3"/>
    <w:pPr>
      <w:numPr>
        <w:ilvl w:val="1"/>
        <w:numId w:val="2"/>
      </w:numPr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7370D3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370D3"/>
    <w:pPr>
      <w:numPr>
        <w:ilvl w:val="1"/>
        <w:numId w:val="2"/>
      </w:numPr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370D3"/>
    <w:pPr>
      <w:numPr>
        <w:ilvl w:val="1"/>
        <w:numId w:val="2"/>
      </w:numPr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370D3"/>
    <w:pPr>
      <w:numPr>
        <w:ilvl w:val="1"/>
        <w:numId w:val="2"/>
      </w:numPr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370D3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370D3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370D3"/>
    <w:pPr>
      <w:numPr>
        <w:ilvl w:val="1"/>
        <w:numId w:val="2"/>
      </w:numPr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370D3"/>
    <w:pPr>
      <w:numPr>
        <w:ilvl w:val="1"/>
        <w:numId w:val="2"/>
      </w:numPr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370D3"/>
    <w:pPr>
      <w:numPr>
        <w:ilvl w:val="1"/>
        <w:numId w:val="2"/>
      </w:numPr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370D3"/>
    <w:pPr>
      <w:numPr>
        <w:ilvl w:val="1"/>
        <w:numId w:val="2"/>
      </w:numPr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370D3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370D3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370D3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370D3"/>
    <w:pPr>
      <w:numPr>
        <w:ilvl w:val="1"/>
        <w:numId w:val="2"/>
      </w:numP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370D3"/>
    <w:pPr>
      <w:numPr>
        <w:ilvl w:val="1"/>
        <w:numId w:val="2"/>
      </w:numPr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370D3"/>
    <w:pPr>
      <w:numPr>
        <w:ilvl w:val="1"/>
        <w:numId w:val="2"/>
      </w:numP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370D3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370D3"/>
    <w:pPr>
      <w:numPr>
        <w:ilvl w:val="1"/>
        <w:numId w:val="2"/>
      </w:numPr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370D3"/>
    <w:pPr>
      <w:numPr>
        <w:ilvl w:val="1"/>
        <w:numId w:val="2"/>
      </w:numPr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370D3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370D3"/>
    <w:pPr>
      <w:numPr>
        <w:ilvl w:val="1"/>
        <w:numId w:val="2"/>
      </w:numPr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370D3"/>
    <w:pPr>
      <w:numPr>
        <w:ilvl w:val="1"/>
        <w:numId w:val="2"/>
      </w:numPr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370D3"/>
    <w:pPr>
      <w:numPr>
        <w:ilvl w:val="1"/>
        <w:numId w:val="2"/>
      </w:numP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370D3"/>
    <w:pPr>
      <w:numPr>
        <w:ilvl w:val="1"/>
        <w:numId w:val="2"/>
      </w:numPr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370D3"/>
    <w:pPr>
      <w:numPr>
        <w:ilvl w:val="1"/>
        <w:numId w:val="2"/>
      </w:numPr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370D3"/>
    <w:pPr>
      <w:numPr>
        <w:ilvl w:val="1"/>
        <w:numId w:val="2"/>
      </w:numPr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Heading1">
    <w:name w:val="No. Heading 1"/>
    <w:basedOn w:val="Heading1"/>
    <w:next w:val="BodyText"/>
    <w:semiHidden/>
    <w:rsid w:val="007370D3"/>
    <w:pPr>
      <w:numPr>
        <w:numId w:val="0"/>
      </w:numPr>
    </w:pPr>
    <w:rPr>
      <w:szCs w:val="24"/>
    </w:rPr>
  </w:style>
  <w:style w:type="paragraph" w:customStyle="1" w:styleId="FooterpageNumber">
    <w:name w:val="Footer page Number"/>
    <w:basedOn w:val="Footer"/>
    <w:rsid w:val="007370D3"/>
    <w:pPr>
      <w:tabs>
        <w:tab w:val="clear" w:pos="4153"/>
        <w:tab w:val="clear" w:pos="8306"/>
      </w:tabs>
      <w:jc w:val="right"/>
    </w:pPr>
    <w:rPr>
      <w:rFonts w:ascii="MetaOT-Book" w:hAnsi="MetaOT-Book"/>
      <w:color w:val="FFFFFF"/>
      <w:szCs w:val="18"/>
    </w:rPr>
  </w:style>
  <w:style w:type="paragraph" w:customStyle="1" w:styleId="NoHeading2">
    <w:name w:val="No. Heading 2"/>
    <w:basedOn w:val="Heading2"/>
    <w:next w:val="BodyText"/>
    <w:semiHidden/>
    <w:rsid w:val="007370D3"/>
    <w:pPr>
      <w:numPr>
        <w:numId w:val="18"/>
      </w:numPr>
    </w:pPr>
  </w:style>
  <w:style w:type="paragraph" w:customStyle="1" w:styleId="TableRef">
    <w:name w:val="Table Ref"/>
    <w:basedOn w:val="Normal"/>
    <w:next w:val="BodyText"/>
    <w:rsid w:val="007370D3"/>
    <w:pPr>
      <w:spacing w:before="120"/>
    </w:pPr>
    <w:rPr>
      <w:b w:val="0"/>
      <w:color w:val="333333"/>
      <w:szCs w:val="18"/>
    </w:rPr>
  </w:style>
  <w:style w:type="paragraph" w:customStyle="1" w:styleId="FigureRef">
    <w:name w:val="Figure Ref"/>
    <w:basedOn w:val="TableRef"/>
    <w:next w:val="BodyText"/>
    <w:rsid w:val="007370D3"/>
    <w:pPr>
      <w:numPr>
        <w:ilvl w:val="3"/>
        <w:numId w:val="18"/>
      </w:numPr>
    </w:pPr>
    <w:rPr>
      <w:color w:val="808080"/>
    </w:rPr>
  </w:style>
  <w:style w:type="paragraph" w:customStyle="1" w:styleId="Table-Figurenotes">
    <w:name w:val="Table-Figure notes"/>
    <w:basedOn w:val="BodyText"/>
    <w:rsid w:val="007370D3"/>
    <w:pPr>
      <w:spacing w:before="120"/>
      <w:contextualSpacing/>
    </w:pPr>
    <w:rPr>
      <w:sz w:val="18"/>
      <w:szCs w:val="18"/>
    </w:rPr>
  </w:style>
  <w:style w:type="paragraph" w:customStyle="1" w:styleId="TableHeadingCentre-White">
    <w:name w:val="Table Heading Centre - White"/>
    <w:basedOn w:val="TableHeadingCentre-Black"/>
    <w:rsid w:val="007370D3"/>
    <w:rPr>
      <w:color w:val="FFFFFF"/>
      <w:sz w:val="18"/>
    </w:rPr>
  </w:style>
  <w:style w:type="paragraph" w:styleId="TOC4">
    <w:name w:val="toc 4"/>
    <w:basedOn w:val="Normal"/>
    <w:next w:val="Normal"/>
    <w:autoRedefine/>
    <w:semiHidden/>
    <w:rsid w:val="007370D3"/>
    <w:pPr>
      <w:tabs>
        <w:tab w:val="left" w:pos="1134"/>
        <w:tab w:val="right" w:leader="dot" w:pos="8222"/>
      </w:tabs>
      <w:ind w:left="1134" w:hanging="1134"/>
    </w:pPr>
    <w:rPr>
      <w:noProof/>
    </w:rPr>
  </w:style>
  <w:style w:type="table" w:customStyle="1" w:styleId="GreenHorizontalTable">
    <w:name w:val="Green Horizontal Table"/>
    <w:basedOn w:val="TableNormal"/>
    <w:semiHidden/>
    <w:rsid w:val="007370D3"/>
    <w:rPr>
      <w:rFonts w:ascii="Arial" w:hAnsi="Arial"/>
    </w:rPr>
    <w:tblPr>
      <w:tblInd w:w="108" w:type="dxa"/>
      <w:tblBorders>
        <w:top w:val="single" w:sz="4" w:space="0" w:color="78BA2E"/>
        <w:bottom w:val="single" w:sz="4" w:space="0" w:color="78BA2E"/>
        <w:insideH w:val="single" w:sz="4" w:space="0" w:color="78BA2E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shd w:val="clear" w:color="auto" w:fill="78BA2E"/>
      </w:tcPr>
    </w:tblStylePr>
  </w:style>
  <w:style w:type="table" w:customStyle="1" w:styleId="BlackTable">
    <w:name w:val="Black Table"/>
    <w:basedOn w:val="TableNormal"/>
    <w:semiHidden/>
    <w:rsid w:val="007370D3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cantSplit w:val="0"/>
        <w:tblHeader/>
      </w:trPr>
      <w:tcPr>
        <w:tcBorders>
          <w:insideH w:val="single" w:sz="4" w:space="0" w:color="FFFFFF"/>
          <w:insideV w:val="single" w:sz="4" w:space="0" w:color="FFFFFF"/>
        </w:tcBorders>
        <w:shd w:val="clear" w:color="auto" w:fill="000000"/>
      </w:tcPr>
    </w:tblStylePr>
  </w:style>
  <w:style w:type="table" w:customStyle="1" w:styleId="GreyAlternatingTable">
    <w:name w:val="Grey Alternating Table"/>
    <w:basedOn w:val="TableNormal"/>
    <w:semiHidden/>
    <w:rsid w:val="007370D3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rPr>
      <w:cantSplit/>
    </w:trPr>
    <w:tblStylePr w:type="firstRow">
      <w:tblPr/>
      <w:trPr>
        <w:cantSplit w:val="0"/>
        <w:tblHeader/>
      </w:trPr>
      <w:tcPr>
        <w:shd w:val="clear" w:color="auto" w:fill="CCCCCC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E6E6E6"/>
      </w:tcPr>
    </w:tblStylePr>
  </w:style>
  <w:style w:type="paragraph" w:customStyle="1" w:styleId="BodyText-White">
    <w:name w:val="Body Text - White"/>
    <w:basedOn w:val="BodyText"/>
    <w:semiHidden/>
    <w:rsid w:val="007370D3"/>
    <w:pPr>
      <w:spacing w:before="120" w:after="100" w:line="276" w:lineRule="auto"/>
    </w:pPr>
    <w:rPr>
      <w:color w:val="FFFFFF"/>
      <w:sz w:val="20"/>
    </w:rPr>
  </w:style>
  <w:style w:type="character" w:customStyle="1" w:styleId="EndnoteNo">
    <w:name w:val="Endnote No."/>
    <w:semiHidden/>
    <w:rsid w:val="007370D3"/>
    <w:rPr>
      <w:vertAlign w:val="superscript"/>
    </w:rPr>
  </w:style>
  <w:style w:type="paragraph" w:styleId="EndnoteText">
    <w:name w:val="endnote text"/>
    <w:basedOn w:val="Normal"/>
    <w:semiHidden/>
    <w:rsid w:val="007370D3"/>
    <w:pPr>
      <w:tabs>
        <w:tab w:val="left" w:pos="567"/>
      </w:tabs>
      <w:spacing w:after="80"/>
    </w:pPr>
    <w:rPr>
      <w:szCs w:val="20"/>
    </w:rPr>
  </w:style>
  <w:style w:type="paragraph" w:customStyle="1" w:styleId="ImprintPageText">
    <w:name w:val="Imprint Page Text"/>
    <w:basedOn w:val="Normal"/>
    <w:semiHidden/>
    <w:rsid w:val="007370D3"/>
    <w:pPr>
      <w:spacing w:after="120" w:line="276" w:lineRule="auto"/>
    </w:pPr>
    <w:rPr>
      <w:color w:val="000000"/>
      <w:szCs w:val="18"/>
    </w:rPr>
  </w:style>
  <w:style w:type="character" w:customStyle="1" w:styleId="TableTextLeftCharChar">
    <w:name w:val="Table Text Left Char Char"/>
    <w:link w:val="TableTextLeft"/>
    <w:rsid w:val="007370D3"/>
    <w:rPr>
      <w:rFonts w:ascii="Arial" w:eastAsia="MS Mincho" w:hAnsi="Arial"/>
      <w:sz w:val="18"/>
      <w:szCs w:val="24"/>
      <w:lang w:val="en-AU" w:eastAsia="en-US" w:bidi="ar-SA"/>
    </w:rPr>
  </w:style>
  <w:style w:type="paragraph" w:customStyle="1" w:styleId="HeadingHidden">
    <w:name w:val="Heading Hidden"/>
    <w:basedOn w:val="Heading"/>
    <w:next w:val="BodyText"/>
    <w:semiHidden/>
    <w:rsid w:val="007370D3"/>
    <w:pPr>
      <w:pageBreakBefore w:val="0"/>
      <w:spacing w:before="400"/>
    </w:pPr>
  </w:style>
  <w:style w:type="character" w:customStyle="1" w:styleId="TitleChar">
    <w:name w:val="Title Char"/>
    <w:link w:val="Title"/>
    <w:rsid w:val="007370D3"/>
    <w:rPr>
      <w:rFonts w:ascii="MetaOT-Book" w:hAnsi="MetaOT-Book"/>
      <w:b/>
      <w:color w:val="FFFFFF"/>
      <w:sz w:val="48"/>
      <w:szCs w:val="52"/>
      <w:lang w:val="en-AU" w:eastAsia="en-US" w:bidi="ar-SA"/>
    </w:rPr>
  </w:style>
  <w:style w:type="paragraph" w:customStyle="1" w:styleId="Introsentence">
    <w:name w:val="Intro sentence"/>
    <w:basedOn w:val="Normal"/>
    <w:rsid w:val="007370D3"/>
    <w:rPr>
      <w:i/>
      <w:color w:val="78BA2E"/>
      <w:sz w:val="28"/>
      <w:szCs w:val="20"/>
    </w:rPr>
  </w:style>
  <w:style w:type="paragraph" w:customStyle="1" w:styleId="CoverDetail1">
    <w:name w:val="Cover Detail 1"/>
    <w:basedOn w:val="Heading3"/>
    <w:semiHidden/>
    <w:rsid w:val="007370D3"/>
    <w:pPr>
      <w:numPr>
        <w:numId w:val="17"/>
      </w:numPr>
    </w:pPr>
  </w:style>
  <w:style w:type="table" w:customStyle="1" w:styleId="NavyTable">
    <w:name w:val="Navy Table"/>
    <w:basedOn w:val="TableNormal"/>
    <w:semiHidden/>
    <w:rsid w:val="007370D3"/>
    <w:rPr>
      <w:rFonts w:ascii="Arial" w:hAnsi="Arial"/>
    </w:rPr>
    <w:tblPr>
      <w:tblInd w:w="108" w:type="dxa"/>
      <w:tblBorders>
        <w:bottom w:val="single" w:sz="4" w:space="0" w:color="003058"/>
        <w:insideH w:val="single" w:sz="4" w:space="0" w:color="003058"/>
      </w:tblBorders>
    </w:tblPr>
    <w:trPr>
      <w:cantSplit/>
    </w:trPr>
    <w:tblStylePr w:type="firstRow">
      <w:rPr>
        <w:b w:val="0"/>
      </w:rPr>
      <w:tblPr/>
      <w:tcPr>
        <w:shd w:val="clear" w:color="auto" w:fill="003058"/>
      </w:tcPr>
    </w:tblStylePr>
  </w:style>
  <w:style w:type="table" w:customStyle="1" w:styleId="NavyAlternatingTable">
    <w:name w:val="Navy Alternating Table"/>
    <w:basedOn w:val="TableNormal"/>
    <w:semiHidden/>
    <w:rsid w:val="007370D3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blStylePr w:type="firstRow">
      <w:tblPr/>
      <w:tcPr>
        <w:shd w:val="clear" w:color="auto" w:fill="003058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D6D6E0"/>
      </w:tcPr>
    </w:tblStylePr>
  </w:style>
  <w:style w:type="table" w:customStyle="1" w:styleId="TableGrid10">
    <w:name w:val="Table Grid1"/>
    <w:basedOn w:val="TableNormal"/>
    <w:next w:val="TableGrid"/>
    <w:rsid w:val="007370D3"/>
    <w:rPr>
      <w:rFonts w:ascii="Arial" w:hAnsi="Arial"/>
    </w:rPr>
    <w:tblPr>
      <w:tblInd w:w="108" w:type="dxa"/>
    </w:tblPr>
    <w:trPr>
      <w:cantSplit/>
      <w:tblHeader/>
    </w:trPr>
  </w:style>
  <w:style w:type="character" w:styleId="PageNumber">
    <w:name w:val="page number"/>
    <w:basedOn w:val="DefaultParagraphFont"/>
    <w:rsid w:val="007370D3"/>
  </w:style>
  <w:style w:type="paragraph" w:customStyle="1" w:styleId="TabletextAOs">
    <w:name w:val="Table text AOs"/>
    <w:basedOn w:val="TableTextLeft"/>
    <w:link w:val="TabletextAOsChar"/>
    <w:rsid w:val="007370D3"/>
  </w:style>
  <w:style w:type="paragraph" w:styleId="TableofFigures">
    <w:name w:val="table of figures"/>
    <w:basedOn w:val="Normal"/>
    <w:next w:val="Normal"/>
    <w:semiHidden/>
    <w:rsid w:val="007370D3"/>
  </w:style>
  <w:style w:type="paragraph" w:customStyle="1" w:styleId="Tabletextnotes">
    <w:name w:val="Table text notes"/>
    <w:basedOn w:val="TabletextAOs"/>
    <w:next w:val="TableTextLeft"/>
    <w:link w:val="TabletextnotesChar"/>
    <w:rsid w:val="007370D3"/>
    <w:pPr>
      <w:spacing w:after="180"/>
    </w:pPr>
    <w:rPr>
      <w:sz w:val="16"/>
    </w:rPr>
  </w:style>
  <w:style w:type="character" w:customStyle="1" w:styleId="TabletextAOsChar">
    <w:name w:val="Table text AOs Char"/>
    <w:basedOn w:val="TableTextLeftCharChar"/>
    <w:link w:val="TabletextAOs"/>
    <w:rsid w:val="007370D3"/>
    <w:rPr>
      <w:rFonts w:ascii="Arial" w:eastAsia="MS Mincho" w:hAnsi="Arial"/>
      <w:sz w:val="18"/>
      <w:szCs w:val="24"/>
      <w:lang w:val="en-AU" w:eastAsia="en-US" w:bidi="ar-SA"/>
    </w:rPr>
  </w:style>
  <w:style w:type="paragraph" w:customStyle="1" w:styleId="Tabletextreferencedocument">
    <w:name w:val="Table text reference document"/>
    <w:basedOn w:val="TabletextAOs"/>
    <w:next w:val="TabletextAOs"/>
    <w:link w:val="TabletextreferencedocumentChar"/>
    <w:rsid w:val="007370D3"/>
    <w:rPr>
      <w:i/>
      <w:color w:val="002C58"/>
    </w:rPr>
  </w:style>
  <w:style w:type="character" w:customStyle="1" w:styleId="TabletextreferencedocumentChar">
    <w:name w:val="Table text reference document Char"/>
    <w:link w:val="Tabletextreferencedocument"/>
    <w:rsid w:val="007370D3"/>
    <w:rPr>
      <w:rFonts w:ascii="Arial" w:eastAsia="MS Mincho" w:hAnsi="Arial"/>
      <w:i/>
      <w:color w:val="002C58"/>
      <w:sz w:val="18"/>
      <w:szCs w:val="24"/>
      <w:lang w:val="en-AU" w:eastAsia="en-US" w:bidi="ar-SA"/>
    </w:rPr>
  </w:style>
  <w:style w:type="paragraph" w:styleId="FootnoteText">
    <w:name w:val="footnote text"/>
    <w:basedOn w:val="Normal"/>
    <w:rsid w:val="007370D3"/>
    <w:rPr>
      <w:szCs w:val="20"/>
    </w:rPr>
  </w:style>
  <w:style w:type="paragraph" w:customStyle="1" w:styleId="PSANormal">
    <w:name w:val="PSA Normal"/>
    <w:basedOn w:val="Normal"/>
    <w:link w:val="PSANormalChar"/>
    <w:rsid w:val="007370D3"/>
    <w:pPr>
      <w:suppressAutoHyphens/>
      <w:autoSpaceDN w:val="0"/>
      <w:spacing w:after="120"/>
      <w:textAlignment w:val="baseline"/>
    </w:pPr>
    <w:rPr>
      <w:rFonts w:ascii="Calibri" w:hAnsi="Calibri"/>
    </w:rPr>
  </w:style>
  <w:style w:type="character" w:customStyle="1" w:styleId="PSANormalChar">
    <w:name w:val="PSA Normal Char"/>
    <w:link w:val="PSANormal"/>
    <w:locked/>
    <w:rsid w:val="007370D3"/>
    <w:rPr>
      <w:rFonts w:ascii="Calibri" w:hAnsi="Calibri"/>
      <w:szCs w:val="24"/>
      <w:lang w:val="en-AU" w:eastAsia="en-AU" w:bidi="ar-SA"/>
    </w:rPr>
  </w:style>
  <w:style w:type="character" w:customStyle="1" w:styleId="TableBulletCharChar">
    <w:name w:val="Table Bullet Char Char"/>
    <w:link w:val="TableBullet"/>
    <w:rsid w:val="004B0F1E"/>
    <w:rPr>
      <w:rFonts w:ascii="Arial" w:eastAsia="MS Mincho" w:hAnsi="Arial"/>
      <w:b/>
      <w:bCs/>
      <w:sz w:val="18"/>
      <w:szCs w:val="22"/>
      <w:lang w:eastAsia="en-US"/>
    </w:rPr>
  </w:style>
  <w:style w:type="paragraph" w:styleId="BalloonText">
    <w:name w:val="Balloon Text"/>
    <w:basedOn w:val="Normal"/>
    <w:semiHidden/>
    <w:rsid w:val="007370D3"/>
    <w:rPr>
      <w:rFonts w:ascii="Tahoma" w:hAnsi="Tahoma" w:cs="Tahoma"/>
    </w:rPr>
  </w:style>
  <w:style w:type="character" w:styleId="CommentReference">
    <w:name w:val="annotation reference"/>
    <w:semiHidden/>
    <w:rsid w:val="007370D3"/>
    <w:rPr>
      <w:sz w:val="16"/>
      <w:szCs w:val="16"/>
    </w:rPr>
  </w:style>
  <w:style w:type="paragraph" w:styleId="CommentText">
    <w:name w:val="annotation text"/>
    <w:basedOn w:val="Normal"/>
    <w:semiHidden/>
    <w:rsid w:val="007370D3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7370D3"/>
    <w:rPr>
      <w:b w:val="0"/>
      <w:bCs w:val="0"/>
    </w:rPr>
  </w:style>
  <w:style w:type="character" w:customStyle="1" w:styleId="Tabletextdefn">
    <w:name w:val="Table text defn"/>
    <w:basedOn w:val="TabletextAOsChar"/>
    <w:rsid w:val="007370D3"/>
    <w:rPr>
      <w:rFonts w:ascii="Arial" w:eastAsia="MS Mincho" w:hAnsi="Arial"/>
      <w:sz w:val="18"/>
      <w:szCs w:val="24"/>
      <w:u w:val="single"/>
      <w:lang w:val="en-AU" w:eastAsia="en-US" w:bidi="ar-SA"/>
    </w:rPr>
  </w:style>
  <w:style w:type="paragraph" w:customStyle="1" w:styleId="Bodytextdefn">
    <w:name w:val="Body text defn"/>
    <w:basedOn w:val="BodyText"/>
    <w:next w:val="BodyText"/>
    <w:qFormat/>
    <w:rsid w:val="007370D3"/>
    <w:pPr>
      <w:spacing w:before="120" w:after="100" w:line="276" w:lineRule="auto"/>
    </w:pPr>
    <w:rPr>
      <w:rFonts w:ascii="MetaOT-Book" w:hAnsi="MetaOT-Book"/>
      <w:sz w:val="20"/>
      <w:u w:val="single"/>
    </w:rPr>
  </w:style>
  <w:style w:type="paragraph" w:customStyle="1" w:styleId="tabletextnotesdefn">
    <w:name w:val="table text notes defn"/>
    <w:basedOn w:val="Tabletextnotes"/>
    <w:link w:val="tabletextnotesdefnChar"/>
    <w:rsid w:val="007370D3"/>
    <w:rPr>
      <w:u w:val="single"/>
    </w:rPr>
  </w:style>
  <w:style w:type="character" w:customStyle="1" w:styleId="TabletextnotesChar">
    <w:name w:val="Table text notes Char"/>
    <w:basedOn w:val="TabletextAOsChar"/>
    <w:link w:val="Tabletextnotes"/>
    <w:rsid w:val="007370D3"/>
    <w:rPr>
      <w:rFonts w:ascii="Arial" w:eastAsia="MS Mincho" w:hAnsi="Arial"/>
      <w:sz w:val="16"/>
      <w:szCs w:val="24"/>
      <w:lang w:val="en-AU" w:eastAsia="en-US" w:bidi="ar-SA"/>
    </w:rPr>
  </w:style>
  <w:style w:type="character" w:customStyle="1" w:styleId="tabletextnotesdefnChar">
    <w:name w:val="table text notes defn Char"/>
    <w:basedOn w:val="TabletextnotesChar"/>
    <w:link w:val="tabletextnotesdefn"/>
    <w:rsid w:val="007370D3"/>
    <w:rPr>
      <w:rFonts w:ascii="Arial" w:eastAsia="MS Mincho" w:hAnsi="Arial"/>
      <w:sz w:val="16"/>
      <w:szCs w:val="24"/>
      <w:u w:val="single"/>
      <w:lang w:val="en-AU" w:eastAsia="en-US" w:bidi="ar-SA"/>
    </w:rPr>
  </w:style>
  <w:style w:type="paragraph" w:customStyle="1" w:styleId="Glossarytext">
    <w:name w:val="Glossary text"/>
    <w:basedOn w:val="TabletextAOs"/>
    <w:link w:val="GlossarytextChar"/>
    <w:rsid w:val="007370D3"/>
    <w:pPr>
      <w:tabs>
        <w:tab w:val="left" w:pos="1978"/>
      </w:tabs>
      <w:spacing w:before="120"/>
    </w:pPr>
  </w:style>
  <w:style w:type="character" w:customStyle="1" w:styleId="BodyTextChar">
    <w:name w:val="Body Text Char"/>
    <w:basedOn w:val="DefaultParagraphFont"/>
    <w:link w:val="BodyText"/>
    <w:rsid w:val="007370D3"/>
    <w:rPr>
      <w:sz w:val="24"/>
      <w:szCs w:val="24"/>
      <w:lang w:val="en-AU" w:eastAsia="en-AU" w:bidi="ar-SA"/>
    </w:rPr>
  </w:style>
  <w:style w:type="character" w:customStyle="1" w:styleId="GlossarytextChar">
    <w:name w:val="Glossary text Char"/>
    <w:basedOn w:val="TabletextAOsChar"/>
    <w:link w:val="Glossarytext"/>
    <w:rsid w:val="007370D3"/>
    <w:rPr>
      <w:rFonts w:ascii="Arial" w:eastAsia="MS Mincho" w:hAnsi="Arial"/>
      <w:sz w:val="18"/>
      <w:szCs w:val="24"/>
      <w:lang w:val="en-AU" w:eastAsia="en-US" w:bidi="ar-SA"/>
    </w:rPr>
  </w:style>
  <w:style w:type="paragraph" w:customStyle="1" w:styleId="Tabletextnotesreference">
    <w:name w:val="Table text notes reference"/>
    <w:basedOn w:val="Tabletextnotes"/>
    <w:link w:val="TabletextnotesreferenceChar"/>
    <w:rsid w:val="007370D3"/>
    <w:rPr>
      <w:i/>
      <w:color w:val="002C58"/>
    </w:rPr>
  </w:style>
  <w:style w:type="character" w:customStyle="1" w:styleId="TabletextnotesreferenceChar">
    <w:name w:val="Table text notes reference Char"/>
    <w:basedOn w:val="TabletextnotesChar"/>
    <w:link w:val="Tabletextnotesreference"/>
    <w:rsid w:val="007370D3"/>
    <w:rPr>
      <w:rFonts w:ascii="Arial" w:eastAsia="MS Mincho" w:hAnsi="Arial"/>
      <w:i/>
      <w:color w:val="002C58"/>
      <w:sz w:val="16"/>
      <w:szCs w:val="24"/>
      <w:lang w:val="en-AU" w:eastAsia="en-US" w:bidi="ar-SA"/>
    </w:rPr>
  </w:style>
  <w:style w:type="character" w:customStyle="1" w:styleId="ListBulletChar">
    <w:name w:val="List Bullet Char"/>
    <w:basedOn w:val="DefaultParagraphFont"/>
    <w:link w:val="ListBullet"/>
    <w:rsid w:val="007370D3"/>
    <w:rPr>
      <w:rFonts w:ascii="MetaOT-Book" w:hAnsi="MetaOT-Book"/>
      <w:snapToGrid w:val="0"/>
      <w:szCs w:val="24"/>
    </w:rPr>
  </w:style>
  <w:style w:type="character" w:customStyle="1" w:styleId="ListNumberChar">
    <w:name w:val="List Number Char"/>
    <w:basedOn w:val="DefaultParagraphFont"/>
    <w:link w:val="ListNumber"/>
    <w:rsid w:val="007370D3"/>
    <w:rPr>
      <w:rFonts w:ascii="Arial" w:hAnsi="Arial"/>
      <w:b/>
      <w:bCs/>
      <w:color w:val="000000"/>
      <w:sz w:val="22"/>
      <w:szCs w:val="22"/>
    </w:rPr>
  </w:style>
  <w:style w:type="paragraph" w:customStyle="1" w:styleId="Glossarynumbering">
    <w:name w:val="Glossary numbering"/>
    <w:basedOn w:val="Glossarytext"/>
    <w:rsid w:val="007370D3"/>
    <w:pPr>
      <w:numPr>
        <w:numId w:val="19"/>
      </w:numPr>
      <w:ind w:left="0" w:firstLine="0"/>
    </w:pPr>
  </w:style>
  <w:style w:type="paragraph" w:customStyle="1" w:styleId="StyleTableRefLeft0cmFirstline0cm">
    <w:name w:val="Style Table Ref + Left:  0 cm First line:  0 cm"/>
    <w:basedOn w:val="TableRef"/>
    <w:rsid w:val="007370D3"/>
    <w:rPr>
      <w:bCs w:val="0"/>
      <w:szCs w:val="20"/>
    </w:rPr>
  </w:style>
  <w:style w:type="paragraph" w:customStyle="1" w:styleId="Tableextnoterefdoc">
    <w:name w:val="Table ext note ref doc"/>
    <w:basedOn w:val="Tabletextnotes"/>
    <w:rsid w:val="007370D3"/>
    <w:rPr>
      <w:i/>
      <w:color w:val="002C58"/>
    </w:rPr>
  </w:style>
  <w:style w:type="paragraph" w:customStyle="1" w:styleId="Tabletextnotebullet1">
    <w:name w:val="Table text note bullet 1"/>
    <w:basedOn w:val="Tabletextnotes"/>
    <w:rsid w:val="007370D3"/>
    <w:pPr>
      <w:numPr>
        <w:numId w:val="20"/>
      </w:numPr>
      <w:spacing w:before="0" w:after="0"/>
      <w:ind w:left="0" w:firstLine="0"/>
    </w:pPr>
  </w:style>
  <w:style w:type="paragraph" w:customStyle="1" w:styleId="StyleTableTextLeftBold">
    <w:name w:val="Style Table Text Left + Bold"/>
    <w:basedOn w:val="TableTextLeft"/>
    <w:rsid w:val="007370D3"/>
    <w:rPr>
      <w:b w:val="0"/>
      <w:bCs w:val="0"/>
    </w:rPr>
  </w:style>
  <w:style w:type="paragraph" w:styleId="Revision">
    <w:name w:val="Revision"/>
    <w:hidden/>
    <w:uiPriority w:val="99"/>
    <w:semiHidden/>
    <w:rsid w:val="001D4094"/>
    <w:rPr>
      <w:rFonts w:ascii="Arial" w:hAnsi="Arial"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4092F"/>
    <w:rPr>
      <w:rFonts w:ascii="Arial" w:hAnsi="Arial" w:cs="Arial"/>
      <w:sz w:val="16"/>
      <w:szCs w:val="16"/>
    </w:rPr>
  </w:style>
  <w:style w:type="paragraph" w:styleId="NoSpacing">
    <w:name w:val="No Spacing"/>
    <w:uiPriority w:val="1"/>
    <w:qFormat/>
    <w:rsid w:val="00E93DB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FE8E8-7CA3-41AA-BEBE-72DC48D1A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code 14: Queensland heritage - response template</vt:lpstr>
    </vt:vector>
  </TitlesOfParts>
  <Company>Queensland Government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code 14: Queensland heritage - response template</dc:title>
  <dc:subject>Module 1.1 - Managing noise and vibration impacts from transport corridors state code</dc:subject>
  <dc:creator>Queensland Government</dc:creator>
  <cp:lastModifiedBy>Sarah Shumack</cp:lastModifiedBy>
  <cp:revision>3</cp:revision>
  <cp:lastPrinted>2013-06-14T00:06:00Z</cp:lastPrinted>
  <dcterms:created xsi:type="dcterms:W3CDTF">2019-10-10T05:24:00Z</dcterms:created>
  <dcterms:modified xsi:type="dcterms:W3CDTF">2020-01-22T22:53:00Z</dcterms:modified>
</cp:coreProperties>
</file>