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7263F" w14:textId="77777777" w:rsidR="006971F0" w:rsidRDefault="006971F0" w:rsidP="006971F0">
      <w:pPr>
        <w:rPr>
          <w:rFonts w:cs="Arial"/>
          <w:szCs w:val="20"/>
        </w:rPr>
      </w:pPr>
      <w:r>
        <w:rPr>
          <w:rFonts w:eastAsia="Arial" w:cs="Arial"/>
          <w:b/>
          <w:bCs/>
          <w:szCs w:val="20"/>
        </w:rPr>
        <w:t xml:space="preserve">Economic </w:t>
      </w:r>
      <w:r>
        <w:rPr>
          <w:rFonts w:eastAsia="Arial" w:cs="Arial"/>
          <w:b/>
          <w:szCs w:val="20"/>
        </w:rPr>
        <w:t xml:space="preserve">support </w:t>
      </w:r>
      <w:r>
        <w:rPr>
          <w:rFonts w:eastAsia="Arial" w:cs="Arial"/>
          <w:b/>
          <w:bCs/>
          <w:szCs w:val="20"/>
        </w:rPr>
        <w:t>instrument under Section 68</w:t>
      </w:r>
      <w:r>
        <w:rPr>
          <w:rFonts w:eastAsia="Arial" w:cs="Arial"/>
          <w:b/>
          <w:szCs w:val="20"/>
        </w:rPr>
        <w:t>D(1)</w:t>
      </w:r>
      <w:r>
        <w:rPr>
          <w:rFonts w:eastAsia="Arial" w:cs="Arial"/>
          <w:b/>
          <w:bCs/>
          <w:szCs w:val="20"/>
        </w:rPr>
        <w:t xml:space="preserve"> of the Planning Regulation 2017</w:t>
      </w:r>
    </w:p>
    <w:p w14:paraId="1253186E" w14:textId="77777777" w:rsidR="006971F0" w:rsidRDefault="006971F0" w:rsidP="006971F0">
      <w:pPr>
        <w:pStyle w:val="ListParagraph"/>
        <w:numPr>
          <w:ilvl w:val="0"/>
          <w:numId w:val="1"/>
        </w:numPr>
        <w:spacing w:after="160" w:line="276" w:lineRule="auto"/>
        <w:ind w:left="709" w:hanging="709"/>
        <w:contextualSpacing/>
        <w:rPr>
          <w:rFonts w:eastAsiaTheme="minorEastAsia" w:cs="Arial"/>
          <w:b/>
          <w:szCs w:val="20"/>
        </w:rPr>
      </w:pPr>
      <w:r>
        <w:rPr>
          <w:rFonts w:eastAsia="Arial" w:cs="Arial"/>
          <w:b/>
          <w:bCs/>
          <w:szCs w:val="20"/>
        </w:rPr>
        <w:t>Adoption</w:t>
      </w:r>
    </w:p>
    <w:p w14:paraId="18DCE9C3" w14:textId="77777777" w:rsidR="006971F0" w:rsidRDefault="006971F0" w:rsidP="006971F0">
      <w:pPr>
        <w:pStyle w:val="ListParagraph"/>
        <w:numPr>
          <w:ilvl w:val="1"/>
          <w:numId w:val="1"/>
        </w:numPr>
        <w:spacing w:after="160" w:line="276" w:lineRule="auto"/>
        <w:ind w:left="1276" w:hanging="567"/>
        <w:contextualSpacing/>
        <w:rPr>
          <w:rFonts w:eastAsiaTheme="minorEastAsia" w:cs="Arial"/>
          <w:szCs w:val="20"/>
        </w:rPr>
      </w:pPr>
      <w:r>
        <w:rPr>
          <w:rFonts w:eastAsia="Arial" w:cs="Arial"/>
          <w:szCs w:val="20"/>
        </w:rPr>
        <w:t xml:space="preserve">This Economic support instrument (instrument) is adopted under the Planning Regulation 2017 for the purpose of assisting in supporting economic recovery from the impacts of the COVID-19 emergency. </w:t>
      </w:r>
    </w:p>
    <w:p w14:paraId="6E00A159" w14:textId="77777777" w:rsidR="006971F0" w:rsidRDefault="006971F0" w:rsidP="006971F0">
      <w:pPr>
        <w:pStyle w:val="ListParagraph"/>
        <w:spacing w:line="276" w:lineRule="auto"/>
        <w:ind w:left="1276"/>
        <w:rPr>
          <w:rFonts w:eastAsiaTheme="minorEastAsia" w:cs="Arial"/>
          <w:sz w:val="10"/>
          <w:szCs w:val="10"/>
        </w:rPr>
      </w:pPr>
      <w:r>
        <w:rPr>
          <w:rFonts w:eastAsia="Arial" w:cs="Arial"/>
          <w:szCs w:val="20"/>
        </w:rPr>
        <w:t xml:space="preserve"> </w:t>
      </w:r>
    </w:p>
    <w:p w14:paraId="293AC66C" w14:textId="77777777" w:rsidR="006971F0" w:rsidRDefault="006971F0" w:rsidP="006971F0">
      <w:pPr>
        <w:pStyle w:val="ListParagraph"/>
        <w:numPr>
          <w:ilvl w:val="0"/>
          <w:numId w:val="1"/>
        </w:numPr>
        <w:spacing w:after="160" w:line="276" w:lineRule="auto"/>
        <w:ind w:left="709" w:hanging="709"/>
        <w:contextualSpacing/>
        <w:rPr>
          <w:rFonts w:eastAsiaTheme="minorEastAsia" w:cs="Arial"/>
          <w:b/>
          <w:szCs w:val="20"/>
        </w:rPr>
      </w:pPr>
      <w:r>
        <w:rPr>
          <w:rFonts w:eastAsia="Arial" w:cs="Arial"/>
          <w:b/>
          <w:bCs/>
          <w:szCs w:val="20"/>
        </w:rPr>
        <w:t>Commencement</w:t>
      </w:r>
    </w:p>
    <w:p w14:paraId="4EDAF713" w14:textId="24A4D634" w:rsidR="006971F0" w:rsidRDefault="006971F0" w:rsidP="006971F0">
      <w:pPr>
        <w:pStyle w:val="ListParagraph"/>
        <w:numPr>
          <w:ilvl w:val="1"/>
          <w:numId w:val="1"/>
        </w:numPr>
        <w:spacing w:after="160" w:line="276" w:lineRule="auto"/>
        <w:ind w:left="1276" w:hanging="567"/>
        <w:contextualSpacing/>
        <w:rPr>
          <w:rFonts w:eastAsiaTheme="minorEastAsia" w:cs="Arial"/>
          <w:szCs w:val="20"/>
        </w:rPr>
      </w:pPr>
      <w:r>
        <w:rPr>
          <w:rFonts w:eastAsia="Arial" w:cs="Arial"/>
          <w:szCs w:val="20"/>
        </w:rPr>
        <w:t>The instrument is adopted by resolution on &lt;</w:t>
      </w:r>
      <w:r>
        <w:rPr>
          <w:rFonts w:eastAsia="Arial" w:cs="Arial"/>
          <w:szCs w:val="20"/>
          <w:highlight w:val="yellow"/>
        </w:rPr>
        <w:t>insert date of adoption</w:t>
      </w:r>
      <w:r>
        <w:rPr>
          <w:rFonts w:eastAsia="Arial" w:cs="Arial"/>
          <w:szCs w:val="20"/>
        </w:rPr>
        <w:t>&gt; and will be effective from the date of publication, as stated in the adoption notice to be published in accordance with section 68E of the Planning Regulation 2017, until 17 September</w:t>
      </w:r>
      <w:r w:rsidR="00882D11">
        <w:rPr>
          <w:rFonts w:eastAsia="Arial" w:cs="Arial"/>
          <w:szCs w:val="20"/>
        </w:rPr>
        <w:t xml:space="preserve"> 2022</w:t>
      </w:r>
      <w:r>
        <w:rPr>
          <w:rFonts w:eastAsia="Arial" w:cs="Arial"/>
          <w:szCs w:val="20"/>
        </w:rPr>
        <w:t xml:space="preserve">, unless earlier revoked. </w:t>
      </w:r>
    </w:p>
    <w:p w14:paraId="41456593" w14:textId="77777777" w:rsidR="006971F0" w:rsidRDefault="006971F0" w:rsidP="006971F0">
      <w:pPr>
        <w:pStyle w:val="ListParagraph"/>
        <w:spacing w:line="276" w:lineRule="auto"/>
        <w:ind w:left="1276"/>
        <w:rPr>
          <w:rFonts w:eastAsiaTheme="minorEastAsia" w:cs="Arial"/>
          <w:sz w:val="10"/>
          <w:szCs w:val="10"/>
        </w:rPr>
      </w:pPr>
    </w:p>
    <w:p w14:paraId="1E5691CB" w14:textId="77777777" w:rsidR="006971F0" w:rsidRDefault="006971F0" w:rsidP="006971F0">
      <w:pPr>
        <w:pStyle w:val="ListParagraph"/>
        <w:numPr>
          <w:ilvl w:val="0"/>
          <w:numId w:val="1"/>
        </w:numPr>
        <w:spacing w:after="160" w:line="276" w:lineRule="auto"/>
        <w:ind w:left="709" w:hanging="709"/>
        <w:contextualSpacing/>
        <w:rPr>
          <w:rFonts w:eastAsiaTheme="minorEastAsia" w:cs="Arial"/>
          <w:b/>
          <w:szCs w:val="20"/>
        </w:rPr>
      </w:pPr>
      <w:r>
        <w:rPr>
          <w:rFonts w:eastAsia="Arial" w:cs="Arial"/>
          <w:b/>
          <w:bCs/>
          <w:szCs w:val="20"/>
        </w:rPr>
        <w:t xml:space="preserve">Application of the instrument </w:t>
      </w:r>
    </w:p>
    <w:p w14:paraId="7A23E6F8" w14:textId="77777777" w:rsidR="006971F0" w:rsidRDefault="006971F0" w:rsidP="006971F0">
      <w:pPr>
        <w:pStyle w:val="ListParagraph"/>
        <w:numPr>
          <w:ilvl w:val="1"/>
          <w:numId w:val="1"/>
        </w:numPr>
        <w:spacing w:after="160" w:line="276" w:lineRule="auto"/>
        <w:ind w:left="1276" w:hanging="567"/>
        <w:contextualSpacing/>
        <w:rPr>
          <w:rFonts w:eastAsiaTheme="minorEastAsia" w:cs="Arial"/>
          <w:szCs w:val="20"/>
        </w:rPr>
      </w:pPr>
      <w:r>
        <w:rPr>
          <w:rFonts w:eastAsia="Arial" w:cs="Arial"/>
          <w:szCs w:val="20"/>
        </w:rPr>
        <w:t>This instrument applies to the &lt;</w:t>
      </w:r>
      <w:r>
        <w:rPr>
          <w:rFonts w:eastAsia="Arial" w:cs="Arial"/>
          <w:szCs w:val="20"/>
          <w:highlight w:val="yellow"/>
        </w:rPr>
        <w:t xml:space="preserve">insert local government </w:t>
      </w:r>
      <w:r>
        <w:rPr>
          <w:rFonts w:eastAsia="Arial" w:cs="Arial"/>
          <w:szCs w:val="20"/>
        </w:rPr>
        <w:t xml:space="preserve">&gt; area. </w:t>
      </w:r>
    </w:p>
    <w:p w14:paraId="4E60AA36" w14:textId="77777777" w:rsidR="006971F0" w:rsidRDefault="006971F0" w:rsidP="006971F0">
      <w:pPr>
        <w:pStyle w:val="ListParagraph"/>
        <w:spacing w:line="276" w:lineRule="auto"/>
        <w:ind w:left="1276"/>
        <w:rPr>
          <w:rFonts w:eastAsiaTheme="minorEastAsia" w:cs="Arial"/>
          <w:sz w:val="10"/>
          <w:szCs w:val="10"/>
        </w:rPr>
      </w:pPr>
    </w:p>
    <w:p w14:paraId="6D6EA5AB" w14:textId="77777777" w:rsidR="006971F0" w:rsidRDefault="006971F0" w:rsidP="006971F0">
      <w:pPr>
        <w:pStyle w:val="ListParagraph"/>
        <w:numPr>
          <w:ilvl w:val="0"/>
          <w:numId w:val="1"/>
        </w:numPr>
        <w:spacing w:after="160" w:line="276" w:lineRule="auto"/>
        <w:ind w:left="709" w:hanging="709"/>
        <w:contextualSpacing/>
        <w:rPr>
          <w:rFonts w:eastAsiaTheme="minorEastAsia" w:cs="Arial"/>
          <w:b/>
          <w:szCs w:val="20"/>
        </w:rPr>
      </w:pPr>
      <w:r>
        <w:rPr>
          <w:rFonts w:eastAsia="Arial" w:cs="Arial"/>
          <w:b/>
          <w:bCs/>
          <w:szCs w:val="20"/>
        </w:rPr>
        <w:t>Economic support provisions</w:t>
      </w:r>
    </w:p>
    <w:p w14:paraId="48D678F9" w14:textId="77777777" w:rsidR="006971F0" w:rsidRDefault="006971F0" w:rsidP="006971F0">
      <w:pPr>
        <w:pStyle w:val="ListParagraph"/>
        <w:numPr>
          <w:ilvl w:val="1"/>
          <w:numId w:val="1"/>
        </w:numPr>
        <w:spacing w:after="160" w:line="276" w:lineRule="auto"/>
        <w:ind w:left="1276" w:hanging="567"/>
        <w:contextualSpacing/>
        <w:rPr>
          <w:rFonts w:eastAsiaTheme="minorEastAsia" w:cs="Arial"/>
          <w:szCs w:val="20"/>
        </w:rPr>
      </w:pPr>
      <w:r>
        <w:rPr>
          <w:rFonts w:eastAsia="Arial" w:cs="Arial"/>
          <w:szCs w:val="20"/>
        </w:rPr>
        <w:t>The instrument applies the following provisions in accordance with section 68D(1) of the Planning Regulation 2017:</w:t>
      </w:r>
    </w:p>
    <w:p w14:paraId="66EBB901" w14:textId="77777777" w:rsidR="006971F0" w:rsidRDefault="006971F0" w:rsidP="006971F0">
      <w:pPr>
        <w:pStyle w:val="ListParagraph"/>
        <w:numPr>
          <w:ilvl w:val="2"/>
          <w:numId w:val="1"/>
        </w:numPr>
        <w:spacing w:after="160" w:line="276" w:lineRule="auto"/>
        <w:ind w:left="2127" w:hanging="851"/>
        <w:contextualSpacing/>
        <w:rPr>
          <w:rFonts w:eastAsiaTheme="minorEastAsia" w:cs="Arial"/>
          <w:szCs w:val="20"/>
        </w:rPr>
      </w:pPr>
      <w:r>
        <w:rPr>
          <w:rFonts w:eastAsia="Arial" w:cs="Arial"/>
          <w:szCs w:val="20"/>
        </w:rPr>
        <w:t>&lt;</w:t>
      </w:r>
      <w:r>
        <w:rPr>
          <w:rFonts w:eastAsia="Arial" w:cs="Arial"/>
          <w:szCs w:val="20"/>
          <w:highlight w:val="yellow"/>
        </w:rPr>
        <w:t xml:space="preserve">Part 8B, Division 3 – Development that requires code assessment </w:t>
      </w:r>
      <w:r>
        <w:rPr>
          <w:rFonts w:eastAsia="Arial" w:cs="Arial"/>
          <w:szCs w:val="20"/>
        </w:rPr>
        <w:t>&gt;</w:t>
      </w:r>
    </w:p>
    <w:p w14:paraId="7C253F50" w14:textId="77777777" w:rsidR="006971F0" w:rsidRDefault="006971F0" w:rsidP="006971F0">
      <w:pPr>
        <w:pStyle w:val="ListParagraph"/>
        <w:numPr>
          <w:ilvl w:val="2"/>
          <w:numId w:val="1"/>
        </w:numPr>
        <w:spacing w:after="160" w:line="276" w:lineRule="auto"/>
        <w:ind w:left="2127" w:hanging="851"/>
        <w:contextualSpacing/>
        <w:rPr>
          <w:rFonts w:eastAsiaTheme="minorEastAsia" w:cs="Arial"/>
          <w:szCs w:val="20"/>
        </w:rPr>
      </w:pPr>
      <w:r>
        <w:rPr>
          <w:rFonts w:eastAsia="Arial" w:cs="Arial"/>
          <w:szCs w:val="20"/>
        </w:rPr>
        <w:t>&lt;</w:t>
      </w:r>
      <w:r>
        <w:rPr>
          <w:rFonts w:eastAsia="Arial" w:cs="Arial"/>
          <w:szCs w:val="20"/>
          <w:highlight w:val="yellow"/>
        </w:rPr>
        <w:t>Schedule 6, Part 1, Section 1A – Particular building work that increases gross floor area of an existing building</w:t>
      </w:r>
      <w:r>
        <w:rPr>
          <w:rFonts w:eastAsia="Arial" w:cs="Arial"/>
          <w:szCs w:val="20"/>
        </w:rPr>
        <w:t>&gt;</w:t>
      </w:r>
    </w:p>
    <w:p w14:paraId="3BFAEC1B" w14:textId="77777777" w:rsidR="006971F0" w:rsidRDefault="006971F0" w:rsidP="006971F0">
      <w:pPr>
        <w:pStyle w:val="ListParagraph"/>
        <w:numPr>
          <w:ilvl w:val="2"/>
          <w:numId w:val="1"/>
        </w:numPr>
        <w:spacing w:after="160" w:line="276" w:lineRule="auto"/>
        <w:ind w:left="2127" w:hanging="851"/>
        <w:contextualSpacing/>
        <w:rPr>
          <w:rFonts w:eastAsiaTheme="minorEastAsia" w:cs="Arial"/>
          <w:szCs w:val="20"/>
        </w:rPr>
      </w:pPr>
      <w:r>
        <w:rPr>
          <w:rFonts w:eastAsia="Arial" w:cs="Arial"/>
          <w:szCs w:val="20"/>
        </w:rPr>
        <w:t xml:space="preserve">&lt; </w:t>
      </w:r>
      <w:r>
        <w:rPr>
          <w:rFonts w:eastAsia="Arial" w:cs="Arial"/>
          <w:szCs w:val="20"/>
          <w:highlight w:val="yellow"/>
        </w:rPr>
        <w:t>Schedule 6, Part 2, Section 7A – Particular material change of use involving an existing building</w:t>
      </w:r>
      <w:r>
        <w:rPr>
          <w:rFonts w:eastAsia="Arial" w:cs="Arial"/>
          <w:szCs w:val="20"/>
        </w:rPr>
        <w:t>&gt;</w:t>
      </w:r>
    </w:p>
    <w:p w14:paraId="24408E05" w14:textId="77777777" w:rsidR="006971F0" w:rsidRDefault="006971F0" w:rsidP="006971F0">
      <w:pPr>
        <w:pStyle w:val="ListParagraph"/>
        <w:numPr>
          <w:ilvl w:val="2"/>
          <w:numId w:val="1"/>
        </w:numPr>
        <w:spacing w:after="160" w:line="276" w:lineRule="auto"/>
        <w:ind w:left="2127" w:hanging="851"/>
        <w:contextualSpacing/>
        <w:rPr>
          <w:rFonts w:eastAsiaTheme="minorEastAsia" w:cs="Arial"/>
          <w:szCs w:val="20"/>
        </w:rPr>
      </w:pPr>
      <w:r>
        <w:rPr>
          <w:rFonts w:eastAsia="Arial" w:cs="Arial"/>
          <w:szCs w:val="20"/>
        </w:rPr>
        <w:t>&lt;</w:t>
      </w:r>
      <w:r>
        <w:rPr>
          <w:rFonts w:eastAsia="Arial" w:cs="Arial"/>
          <w:szCs w:val="20"/>
          <w:highlight w:val="yellow"/>
        </w:rPr>
        <w:t>Schedule 6, Part 2, Section 7B – Material change of use for home-based business in particular zones</w:t>
      </w:r>
      <w:r>
        <w:rPr>
          <w:rFonts w:eastAsia="Arial" w:cs="Arial"/>
          <w:szCs w:val="20"/>
        </w:rPr>
        <w:t>&gt;</w:t>
      </w:r>
    </w:p>
    <w:p w14:paraId="4BC07249" w14:textId="77777777" w:rsidR="00035D38" w:rsidRPr="00F85F2A" w:rsidRDefault="00882D11">
      <w:pPr>
        <w:rPr>
          <w:rFonts w:cs="Arial"/>
          <w:szCs w:val="20"/>
        </w:rPr>
      </w:pPr>
    </w:p>
    <w:sectPr w:rsidR="00035D38" w:rsidRPr="00F85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B58F3"/>
    <w:multiLevelType w:val="multilevel"/>
    <w:tmpl w:val="42923726"/>
    <w:lvl w:ilvl="0">
      <w:start w:val="1"/>
      <w:numFmt w:val="decimal"/>
      <w:lvlText w:val="%1.0"/>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F0"/>
    <w:rsid w:val="00053916"/>
    <w:rsid w:val="000D59DE"/>
    <w:rsid w:val="006971F0"/>
    <w:rsid w:val="00737F0D"/>
    <w:rsid w:val="007F5414"/>
    <w:rsid w:val="00882D11"/>
    <w:rsid w:val="00EA3A96"/>
    <w:rsid w:val="00F8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9B16"/>
  <w15:chartTrackingRefBased/>
  <w15:docId w15:val="{5750E385-803D-4BAF-B5BF-9DA22146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6971F0"/>
    <w:pPr>
      <w:spacing w:before="120" w:after="120" w:line="240" w:lineRule="auto"/>
    </w:pPr>
    <w:rPr>
      <w:rFonts w:ascii="Arial" w:hAnsi="Arial"/>
      <w:color w:val="8064A2" w:themeColor="accent4"/>
      <w:sz w:val="20"/>
      <w:szCs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30204-F589-485B-AA0A-72AA8C7509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FAE5A4-8BDE-4980-830A-9FCC85FA6450}">
  <ds:schemaRefs>
    <ds:schemaRef ds:uri="http://schemas.microsoft.com/sharepoint/v3/contenttype/forms"/>
  </ds:schemaRefs>
</ds:datastoreItem>
</file>

<file path=customXml/itemProps3.xml><?xml version="1.0" encoding="utf-8"?>
<ds:datastoreItem xmlns:ds="http://schemas.openxmlformats.org/officeDocument/2006/customXml" ds:itemID="{2C8C8B56-1F34-43CA-B393-51D151A01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HARDYMAN</dc:creator>
  <cp:keywords/>
  <dc:description/>
  <cp:lastModifiedBy>Jemma Casson</cp:lastModifiedBy>
  <cp:revision>2</cp:revision>
  <dcterms:created xsi:type="dcterms:W3CDTF">2021-09-16T00:17:00Z</dcterms:created>
  <dcterms:modified xsi:type="dcterms:W3CDTF">2021-09-17T02:37:00Z</dcterms:modified>
</cp:coreProperties>
</file>