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2590"/>
      </w:tblGrid>
      <w:tr w:rsidR="00A937CA" w:rsidRPr="00A937CA" w:rsidTr="00D01FCF">
        <w:trPr>
          <w:trHeight w:val="699"/>
        </w:trPr>
        <w:tc>
          <w:tcPr>
            <w:tcW w:w="22590" w:type="dxa"/>
            <w:shd w:val="clear" w:color="auto" w:fill="F2F2F2"/>
            <w:vAlign w:val="center"/>
          </w:tcPr>
          <w:p w:rsidR="008D18FB" w:rsidRPr="00A937CA" w:rsidRDefault="008D18FB" w:rsidP="00A937CA">
            <w:pPr>
              <w:pStyle w:val="Heading1"/>
              <w:spacing w:after="0"/>
              <w:rPr>
                <w:color w:val="auto"/>
                <w:sz w:val="28"/>
              </w:rPr>
            </w:pPr>
            <w:bookmarkStart w:id="0" w:name="_Ref387052246"/>
            <w:bookmarkStart w:id="1" w:name="_Toc387142519"/>
            <w:bookmarkStart w:id="2" w:name="_GoBack"/>
            <w:bookmarkEnd w:id="2"/>
            <w:r w:rsidRPr="00A937CA">
              <w:rPr>
                <w:color w:val="auto"/>
                <w:sz w:val="28"/>
                <w:szCs w:val="28"/>
              </w:rPr>
              <w:t>LGIP review checklist</w:t>
            </w:r>
            <w:r w:rsidRPr="00A937CA">
              <w:rPr>
                <w:color w:val="auto"/>
                <w:sz w:val="28"/>
              </w:rPr>
              <w:t xml:space="preserve"> </w:t>
            </w:r>
            <w:r w:rsidRPr="00A937CA">
              <w:rPr>
                <w:color w:val="auto"/>
                <w:sz w:val="28"/>
              </w:rPr>
              <w:br/>
            </w:r>
            <w:r w:rsidRPr="00A937CA">
              <w:rPr>
                <w:i/>
                <w:color w:val="auto"/>
                <w:sz w:val="20"/>
              </w:rPr>
              <w:t>Approved form MGR5.1 under the Planning Act 2016</w:t>
            </w:r>
          </w:p>
        </w:tc>
      </w:tr>
      <w:bookmarkEnd w:id="0"/>
      <w:bookmarkEnd w:id="1"/>
    </w:tbl>
    <w:p w:rsidR="005263AC" w:rsidRPr="005263AC" w:rsidRDefault="005263AC" w:rsidP="005263AC">
      <w:pPr>
        <w:pStyle w:val="DIPbodytext"/>
        <w:rPr>
          <w:b/>
        </w:rPr>
      </w:pPr>
    </w:p>
    <w:tbl>
      <w:tblPr>
        <w:tblpPr w:leftFromText="180" w:rightFromText="180" w:horzAnchor="margin" w:tblpY="10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1"/>
        <w:gridCol w:w="1699"/>
        <w:gridCol w:w="1048"/>
        <w:gridCol w:w="4147"/>
        <w:gridCol w:w="1561"/>
        <w:gridCol w:w="2823"/>
        <w:gridCol w:w="1356"/>
        <w:gridCol w:w="2814"/>
        <w:gridCol w:w="2407"/>
        <w:gridCol w:w="3394"/>
      </w:tblGrid>
      <w:tr w:rsidR="008D18FB" w:rsidRPr="008D18FB" w:rsidTr="00514A65">
        <w:trPr>
          <w:trHeight w:val="1272"/>
          <w:tblHeader/>
        </w:trPr>
        <w:tc>
          <w:tcPr>
            <w:tcW w:w="22590" w:type="dxa"/>
            <w:gridSpan w:val="10"/>
            <w:shd w:val="clear" w:color="auto" w:fill="auto"/>
          </w:tcPr>
          <w:p w:rsidR="008D18FB" w:rsidRPr="00642C18" w:rsidRDefault="008D18FB" w:rsidP="007F3EB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642C18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Review principles: </w:t>
            </w:r>
          </w:p>
          <w:p w:rsidR="008D18FB" w:rsidRPr="00642C18" w:rsidRDefault="008D18FB" w:rsidP="007F3E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642C18">
              <w:rPr>
                <w:rFonts w:ascii="Arial" w:hAnsi="Arial" w:cs="Arial"/>
                <w:bCs/>
                <w:sz w:val="20"/>
              </w:rPr>
              <w:t xml:space="preserve">A reference in the checklist to the LGIP is taken to include a relevant reference to the </w:t>
            </w:r>
            <w:r w:rsidRPr="00642C18">
              <w:rPr>
                <w:rFonts w:ascii="Arial" w:hAnsi="Arial" w:cs="Arial"/>
                <w:bCs/>
                <w:i/>
                <w:sz w:val="20"/>
              </w:rPr>
              <w:t>Planning Act 2016</w:t>
            </w:r>
            <w:r w:rsidRPr="00642C18">
              <w:rPr>
                <w:rFonts w:ascii="Arial" w:hAnsi="Arial" w:cs="Arial"/>
                <w:bCs/>
                <w:sz w:val="20"/>
              </w:rPr>
              <w:t xml:space="preserve"> and </w:t>
            </w:r>
            <w:r>
              <w:rPr>
                <w:rFonts w:ascii="Arial" w:hAnsi="Arial" w:cs="Arial"/>
                <w:bCs/>
                <w:sz w:val="20"/>
              </w:rPr>
              <w:t>c</w:t>
            </w:r>
            <w:r w:rsidRPr="00642C18">
              <w:rPr>
                <w:rFonts w:ascii="Arial" w:hAnsi="Arial" w:cs="Arial"/>
                <w:bCs/>
                <w:sz w:val="20"/>
              </w:rPr>
              <w:t>hapter 5 of the Minister’s Guidelines and Rules.</w:t>
            </w:r>
          </w:p>
          <w:p w:rsidR="008D18FB" w:rsidRPr="00642C18" w:rsidRDefault="008D18FB" w:rsidP="007F3EB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  <w:sz w:val="20"/>
              </w:rPr>
            </w:pPr>
            <w:r w:rsidRPr="00642C18">
              <w:rPr>
                <w:rFonts w:ascii="Arial" w:hAnsi="Arial" w:cs="Arial"/>
                <w:bCs/>
                <w:sz w:val="20"/>
              </w:rPr>
              <w:t xml:space="preserve">Terms in this checklist that are defined in the </w:t>
            </w:r>
            <w:r w:rsidRPr="00642C18">
              <w:rPr>
                <w:rFonts w:ascii="Arial" w:hAnsi="Arial" w:cs="Arial"/>
                <w:bCs/>
                <w:i/>
                <w:sz w:val="20"/>
              </w:rPr>
              <w:t>Planning Act 2016</w:t>
            </w:r>
            <w:r w:rsidRPr="00642C18">
              <w:rPr>
                <w:rFonts w:ascii="Arial" w:hAnsi="Arial" w:cs="Arial"/>
                <w:bCs/>
                <w:sz w:val="20"/>
              </w:rPr>
              <w:t xml:space="preserve"> or the Minister’s Guidelines and Rules. </w:t>
            </w:r>
          </w:p>
          <w:p w:rsidR="008D18FB" w:rsidRPr="00642C18" w:rsidRDefault="008D18FB" w:rsidP="001D72E3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2C18">
              <w:rPr>
                <w:rFonts w:ascii="Arial" w:hAnsi="Arial" w:cs="Arial"/>
                <w:bCs/>
                <w:sz w:val="20"/>
              </w:rPr>
              <w:t xml:space="preserve">The checklist must not be taken to cover all requirements of the </w:t>
            </w:r>
            <w:r w:rsidRPr="00642C18">
              <w:rPr>
                <w:rFonts w:ascii="Arial" w:hAnsi="Arial" w:cs="Arial"/>
                <w:bCs/>
                <w:i/>
                <w:sz w:val="20"/>
              </w:rPr>
              <w:t>Planning Act 2016</w:t>
            </w:r>
            <w:r w:rsidRPr="00642C18">
              <w:rPr>
                <w:rFonts w:ascii="Arial" w:hAnsi="Arial" w:cs="Arial"/>
                <w:bCs/>
                <w:sz w:val="20"/>
              </w:rPr>
              <w:t xml:space="preserve"> and</w:t>
            </w:r>
            <w:r w:rsidR="007F3EB3">
              <w:rPr>
                <w:rFonts w:ascii="Arial" w:hAnsi="Arial" w:cs="Arial"/>
                <w:bCs/>
                <w:sz w:val="20"/>
              </w:rPr>
              <w:t xml:space="preserve"> the</w:t>
            </w:r>
            <w:r w:rsidRPr="00642C18">
              <w:rPr>
                <w:rFonts w:ascii="Arial" w:hAnsi="Arial" w:cs="Arial"/>
                <w:bCs/>
                <w:sz w:val="20"/>
              </w:rPr>
              <w:t xml:space="preserve"> Minister’s Guidelines and Rules. Local governments must still have regard to the requirements as set out in the </w:t>
            </w:r>
            <w:r w:rsidRPr="00642C18">
              <w:rPr>
                <w:rFonts w:ascii="Arial" w:hAnsi="Arial" w:cs="Arial"/>
                <w:bCs/>
                <w:i/>
                <w:sz w:val="20"/>
              </w:rPr>
              <w:t>Planning Act 2016</w:t>
            </w:r>
            <w:r w:rsidRPr="00642C18">
              <w:rPr>
                <w:rFonts w:ascii="Arial" w:hAnsi="Arial" w:cs="Arial"/>
                <w:bCs/>
                <w:sz w:val="20"/>
              </w:rPr>
              <w:t xml:space="preserve"> and the Minister’s Guidelines and Rules when preparing or amending an LGIP.</w:t>
            </w:r>
          </w:p>
        </w:tc>
      </w:tr>
      <w:tr w:rsidR="002C0C04" w:rsidRPr="008D18FB" w:rsidTr="00D01FCF">
        <w:trPr>
          <w:trHeight w:val="315"/>
          <w:tblHeader/>
        </w:trPr>
        <w:tc>
          <w:tcPr>
            <w:tcW w:w="8235" w:type="dxa"/>
            <w:gridSpan w:val="4"/>
            <w:shd w:val="clear" w:color="auto" w:fill="auto"/>
            <w:vAlign w:val="center"/>
          </w:tcPr>
          <w:p w:rsidR="00B5372A" w:rsidRPr="00642C18" w:rsidRDefault="00B5372A" w:rsidP="002C0C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42C18">
              <w:rPr>
                <w:rFonts w:ascii="Arial" w:hAnsi="Arial" w:cs="Arial"/>
                <w:b/>
                <w:bCs/>
                <w:szCs w:val="24"/>
              </w:rPr>
              <w:t>Local government infrastructure plan (LGIP) checklist</w:t>
            </w:r>
          </w:p>
        </w:tc>
        <w:tc>
          <w:tcPr>
            <w:tcW w:w="4384" w:type="dxa"/>
            <w:gridSpan w:val="2"/>
            <w:shd w:val="clear" w:color="auto" w:fill="F2F2F2"/>
            <w:vAlign w:val="center"/>
          </w:tcPr>
          <w:p w:rsidR="00B5372A" w:rsidRPr="00642C18" w:rsidRDefault="00B5372A" w:rsidP="002C0C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42C18">
              <w:rPr>
                <w:rFonts w:ascii="Arial" w:hAnsi="Arial" w:cs="Arial"/>
                <w:b/>
                <w:bCs/>
                <w:szCs w:val="24"/>
              </w:rPr>
              <w:t>To be completed by local government</w:t>
            </w:r>
          </w:p>
        </w:tc>
        <w:tc>
          <w:tcPr>
            <w:tcW w:w="9971" w:type="dxa"/>
            <w:gridSpan w:val="4"/>
            <w:shd w:val="clear" w:color="auto" w:fill="D9D9D9"/>
            <w:vAlign w:val="center"/>
          </w:tcPr>
          <w:p w:rsidR="00B5372A" w:rsidRPr="00642C18" w:rsidRDefault="00B5372A" w:rsidP="002C0C0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42C18">
              <w:rPr>
                <w:rFonts w:ascii="Arial" w:hAnsi="Arial" w:cs="Arial"/>
                <w:b/>
                <w:bCs/>
                <w:szCs w:val="24"/>
              </w:rPr>
              <w:t xml:space="preserve">To be completed by </w:t>
            </w:r>
            <w:r w:rsidR="00D80A97" w:rsidRPr="00642C18">
              <w:rPr>
                <w:rFonts w:ascii="Arial" w:hAnsi="Arial" w:cs="Arial"/>
                <w:b/>
                <w:bCs/>
                <w:szCs w:val="24"/>
              </w:rPr>
              <w:t>appointed</w:t>
            </w:r>
            <w:r w:rsidRPr="00642C18">
              <w:rPr>
                <w:rFonts w:ascii="Arial" w:hAnsi="Arial" w:cs="Arial"/>
                <w:b/>
                <w:bCs/>
                <w:szCs w:val="24"/>
              </w:rPr>
              <w:t xml:space="preserve"> reviewer</w:t>
            </w:r>
          </w:p>
        </w:tc>
      </w:tr>
      <w:tr w:rsidR="00D01FCF" w:rsidRPr="008D18FB" w:rsidTr="00D01FCF">
        <w:trPr>
          <w:trHeight w:val="615"/>
          <w:tblHeader/>
        </w:trPr>
        <w:tc>
          <w:tcPr>
            <w:tcW w:w="1341" w:type="dxa"/>
            <w:shd w:val="clear" w:color="auto" w:fill="auto"/>
            <w:hideMark/>
          </w:tcPr>
          <w:p w:rsidR="00B5372A" w:rsidRPr="00642C18" w:rsidRDefault="00B5372A" w:rsidP="00EB598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3" w:name="RANGE!B3:K3"/>
            <w:r w:rsidRPr="00642C18">
              <w:rPr>
                <w:rFonts w:ascii="Arial" w:hAnsi="Arial" w:cs="Arial"/>
                <w:b/>
                <w:bCs/>
              </w:rPr>
              <w:t>LGIP  outcome</w:t>
            </w:r>
            <w:bookmarkEnd w:id="3"/>
          </w:p>
        </w:tc>
        <w:tc>
          <w:tcPr>
            <w:tcW w:w="1699" w:type="dxa"/>
            <w:shd w:val="clear" w:color="auto" w:fill="auto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2C18">
              <w:rPr>
                <w:rFonts w:ascii="Arial" w:hAnsi="Arial" w:cs="Arial"/>
                <w:b/>
                <w:bCs/>
              </w:rPr>
              <w:t>LGIP component</w:t>
            </w:r>
          </w:p>
        </w:tc>
        <w:tc>
          <w:tcPr>
            <w:tcW w:w="1048" w:type="dxa"/>
            <w:shd w:val="clear" w:color="auto" w:fill="auto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2C18"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4147" w:type="dxa"/>
            <w:shd w:val="clear" w:color="auto" w:fill="auto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2C18">
              <w:rPr>
                <w:rFonts w:ascii="Arial" w:hAnsi="Arial" w:cs="Arial"/>
                <w:b/>
                <w:bCs/>
              </w:rPr>
              <w:t>Requirement</w:t>
            </w:r>
          </w:p>
        </w:tc>
        <w:tc>
          <w:tcPr>
            <w:tcW w:w="1561" w:type="dxa"/>
            <w:shd w:val="clear" w:color="auto" w:fill="F2F2F2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2C18">
              <w:rPr>
                <w:rFonts w:ascii="Arial" w:hAnsi="Arial" w:cs="Arial"/>
                <w:b/>
                <w:bCs/>
              </w:rPr>
              <w:t>Requirement met (yes/no)</w:t>
            </w:r>
          </w:p>
        </w:tc>
        <w:tc>
          <w:tcPr>
            <w:tcW w:w="2823" w:type="dxa"/>
            <w:shd w:val="clear" w:color="auto" w:fill="F2F2F2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2C18">
              <w:rPr>
                <w:rFonts w:ascii="Arial" w:hAnsi="Arial" w:cs="Arial"/>
                <w:b/>
                <w:bCs/>
              </w:rPr>
              <w:t>Local government comments</w:t>
            </w:r>
          </w:p>
        </w:tc>
        <w:tc>
          <w:tcPr>
            <w:tcW w:w="1356" w:type="dxa"/>
            <w:shd w:val="clear" w:color="auto" w:fill="D9D9D9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2C18">
              <w:rPr>
                <w:rFonts w:ascii="Arial" w:hAnsi="Arial" w:cs="Arial"/>
                <w:b/>
                <w:bCs/>
              </w:rPr>
              <w:t>Compliant (yes/no)</w:t>
            </w:r>
          </w:p>
        </w:tc>
        <w:tc>
          <w:tcPr>
            <w:tcW w:w="2814" w:type="dxa"/>
            <w:shd w:val="clear" w:color="auto" w:fill="D9D9D9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2C18">
              <w:rPr>
                <w:rFonts w:ascii="Arial" w:hAnsi="Arial" w:cs="Arial"/>
                <w:b/>
                <w:bCs/>
              </w:rPr>
              <w:t>Justification</w:t>
            </w:r>
          </w:p>
        </w:tc>
        <w:tc>
          <w:tcPr>
            <w:tcW w:w="2407" w:type="dxa"/>
            <w:shd w:val="clear" w:color="auto" w:fill="D9D9D9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2C18">
              <w:rPr>
                <w:rFonts w:ascii="Arial" w:hAnsi="Arial" w:cs="Arial"/>
                <w:b/>
                <w:bCs/>
              </w:rPr>
              <w:t>Corrective action description</w:t>
            </w:r>
          </w:p>
        </w:tc>
        <w:tc>
          <w:tcPr>
            <w:tcW w:w="3394" w:type="dxa"/>
            <w:shd w:val="clear" w:color="auto" w:fill="D9D9D9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2C18">
              <w:rPr>
                <w:rFonts w:ascii="Arial" w:hAnsi="Arial" w:cs="Arial"/>
                <w:b/>
                <w:bCs/>
              </w:rPr>
              <w:t>Recommendation</w:t>
            </w:r>
          </w:p>
        </w:tc>
      </w:tr>
      <w:tr w:rsidR="00D01FCF" w:rsidRPr="008D18FB" w:rsidTr="00D01FCF">
        <w:trPr>
          <w:trHeight w:val="391"/>
        </w:trPr>
        <w:tc>
          <w:tcPr>
            <w:tcW w:w="1341" w:type="dxa"/>
            <w:vMerge w:val="restart"/>
            <w:shd w:val="clear" w:color="auto" w:fill="auto"/>
            <w:hideMark/>
          </w:tcPr>
          <w:p w:rsidR="00E20DFB" w:rsidRPr="00642C18" w:rsidRDefault="00D80A97" w:rsidP="00B61FE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2C18">
              <w:rPr>
                <w:rFonts w:ascii="Arial" w:hAnsi="Arial" w:cs="Arial"/>
                <w:b/>
                <w:bCs/>
              </w:rPr>
              <w:t xml:space="preserve">The </w:t>
            </w:r>
            <w:r w:rsidR="00E20DFB" w:rsidRPr="00642C18">
              <w:rPr>
                <w:rFonts w:ascii="Arial" w:hAnsi="Arial" w:cs="Arial"/>
                <w:b/>
                <w:bCs/>
              </w:rPr>
              <w:t>LGIP is consistent with the</w:t>
            </w:r>
            <w:r w:rsidRPr="00642C18">
              <w:rPr>
                <w:rFonts w:ascii="Arial" w:hAnsi="Arial" w:cs="Arial"/>
                <w:b/>
                <w:bCs/>
              </w:rPr>
              <w:t xml:space="preserve"> legislation </w:t>
            </w:r>
            <w:r w:rsidR="009B69CB" w:rsidRPr="00642C18">
              <w:rPr>
                <w:rFonts w:ascii="Arial" w:hAnsi="Arial" w:cs="Arial"/>
                <w:b/>
                <w:bCs/>
              </w:rPr>
              <w:t xml:space="preserve">for LGIPs </w:t>
            </w:r>
            <w:r w:rsidRPr="00642C18">
              <w:rPr>
                <w:rFonts w:ascii="Arial" w:hAnsi="Arial" w:cs="Arial"/>
                <w:b/>
                <w:bCs/>
              </w:rPr>
              <w:t xml:space="preserve">and </w:t>
            </w:r>
            <w:r w:rsidR="004D528E" w:rsidRPr="00642C18">
              <w:rPr>
                <w:rFonts w:ascii="Arial" w:hAnsi="Arial" w:cs="Arial"/>
                <w:b/>
                <w:bCs/>
              </w:rPr>
              <w:t>the Minister</w:t>
            </w:r>
            <w:r w:rsidR="00EB5986" w:rsidRPr="00642C18">
              <w:rPr>
                <w:rFonts w:ascii="Arial" w:hAnsi="Arial" w:cs="Arial"/>
                <w:b/>
                <w:bCs/>
              </w:rPr>
              <w:t>’</w:t>
            </w:r>
            <w:r w:rsidR="004D528E" w:rsidRPr="00642C18">
              <w:rPr>
                <w:rFonts w:ascii="Arial" w:hAnsi="Arial" w:cs="Arial"/>
                <w:b/>
                <w:bCs/>
              </w:rPr>
              <w:t xml:space="preserve">s </w:t>
            </w:r>
            <w:r w:rsidR="00B61FE5" w:rsidRPr="00642C18">
              <w:rPr>
                <w:rFonts w:ascii="Arial" w:hAnsi="Arial" w:cs="Arial"/>
                <w:b/>
                <w:bCs/>
              </w:rPr>
              <w:t>Guidelines and</w:t>
            </w:r>
            <w:r w:rsidR="004D528E" w:rsidRPr="00642C18">
              <w:rPr>
                <w:rFonts w:ascii="Arial" w:hAnsi="Arial" w:cs="Arial"/>
                <w:b/>
                <w:bCs/>
              </w:rPr>
              <w:t xml:space="preserve"> Rules</w:t>
            </w:r>
            <w:r w:rsidRPr="00642C18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2C18">
              <w:rPr>
                <w:rFonts w:ascii="Arial" w:hAnsi="Arial" w:cs="Arial"/>
                <w:b/>
                <w:bCs/>
              </w:rPr>
              <w:t>All</w:t>
            </w:r>
          </w:p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E20DFB" w:rsidRPr="00642C18" w:rsidRDefault="00E20DFB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E20DFB" w:rsidRPr="00642C18" w:rsidRDefault="00E20DFB" w:rsidP="004B41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 xml:space="preserve">The LGIP sections are ordered in accordance with </w:t>
            </w:r>
            <w:r w:rsidR="004B41A3" w:rsidRPr="00642C18">
              <w:rPr>
                <w:rFonts w:ascii="Arial" w:hAnsi="Arial" w:cs="Arial"/>
                <w:sz w:val="20"/>
                <w:szCs w:val="20"/>
              </w:rPr>
              <w:t>the</w:t>
            </w:r>
            <w:r w:rsidR="00B61FE5" w:rsidRPr="00642C18">
              <w:rPr>
                <w:rFonts w:ascii="Arial" w:hAnsi="Arial" w:cs="Arial"/>
                <w:sz w:val="20"/>
                <w:szCs w:val="20"/>
              </w:rPr>
              <w:t xml:space="preserve"> LGIP template</w:t>
            </w:r>
            <w:r w:rsidR="002E29C6" w:rsidRPr="00642C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F2F2F2"/>
            <w:hideMark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23" w:type="dxa"/>
            <w:shd w:val="clear" w:color="auto" w:fill="F2F2F2"/>
            <w:hideMark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1356" w:type="dxa"/>
            <w:shd w:val="clear" w:color="auto" w:fill="D9D9D9"/>
            <w:hideMark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14" w:type="dxa"/>
            <w:shd w:val="clear" w:color="auto" w:fill="D9D9D9"/>
            <w:hideMark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407" w:type="dxa"/>
            <w:shd w:val="clear" w:color="auto" w:fill="D9D9D9"/>
            <w:hideMark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3394" w:type="dxa"/>
            <w:shd w:val="clear" w:color="auto" w:fill="D9D9D9"/>
            <w:hideMark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</w:tr>
      <w:tr w:rsidR="00D01FCF" w:rsidRPr="008D18FB" w:rsidTr="00D01FCF">
        <w:trPr>
          <w:trHeight w:val="551"/>
        </w:trPr>
        <w:tc>
          <w:tcPr>
            <w:tcW w:w="1341" w:type="dxa"/>
            <w:vMerge/>
            <w:shd w:val="clear" w:color="auto" w:fill="auto"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E20DFB" w:rsidRPr="00642C18" w:rsidRDefault="00E20DFB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The LGIP sections are correctly located in the planning scheme.</w:t>
            </w:r>
          </w:p>
        </w:tc>
        <w:tc>
          <w:tcPr>
            <w:tcW w:w="1561" w:type="dxa"/>
            <w:shd w:val="clear" w:color="auto" w:fill="F2F2F2"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92"/>
        </w:trPr>
        <w:tc>
          <w:tcPr>
            <w:tcW w:w="1341" w:type="dxa"/>
            <w:vMerge/>
            <w:shd w:val="clear" w:color="auto" w:fill="auto"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  <w:shd w:val="clear" w:color="auto" w:fill="auto"/>
          </w:tcPr>
          <w:p w:rsidR="00E20DFB" w:rsidRPr="00642C18" w:rsidRDefault="00E20DFB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E20DFB" w:rsidRPr="00642C18" w:rsidRDefault="00E20DFB" w:rsidP="004B41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 xml:space="preserve">The content and text complies with the mandatory </w:t>
            </w:r>
            <w:r w:rsidR="00812E2E" w:rsidRPr="00642C18">
              <w:rPr>
                <w:rFonts w:ascii="Arial" w:hAnsi="Arial" w:cs="Arial"/>
                <w:sz w:val="20"/>
                <w:szCs w:val="20"/>
              </w:rPr>
              <w:t>components of</w:t>
            </w:r>
            <w:r w:rsidR="00B61FE5" w:rsidRPr="00642C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41A3" w:rsidRPr="00642C18">
              <w:rPr>
                <w:rFonts w:ascii="Arial" w:hAnsi="Arial" w:cs="Arial"/>
                <w:sz w:val="20"/>
                <w:szCs w:val="20"/>
              </w:rPr>
              <w:t>the</w:t>
            </w:r>
            <w:r w:rsidR="00B61FE5" w:rsidRPr="00642C18">
              <w:rPr>
                <w:rFonts w:ascii="Arial" w:hAnsi="Arial" w:cs="Arial"/>
                <w:sz w:val="20"/>
                <w:szCs w:val="20"/>
              </w:rPr>
              <w:t xml:space="preserve"> LGIP template</w:t>
            </w:r>
            <w:r w:rsidRPr="00642C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F2F2F2"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48" w:type="dxa"/>
            <w:shd w:val="clear" w:color="auto" w:fill="auto"/>
          </w:tcPr>
          <w:p w:rsidR="00E20DFB" w:rsidRPr="00642C18" w:rsidRDefault="00E20DFB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Text references to numbered paragraphs, tables and maps are correct.</w:t>
            </w:r>
          </w:p>
        </w:tc>
        <w:tc>
          <w:tcPr>
            <w:tcW w:w="1561" w:type="dxa"/>
            <w:shd w:val="clear" w:color="auto" w:fill="F2F2F2"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E20DFB" w:rsidRPr="00642C18" w:rsidRDefault="00E20DFB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64"/>
        </w:trPr>
        <w:tc>
          <w:tcPr>
            <w:tcW w:w="1341" w:type="dxa"/>
            <w:vMerge/>
            <w:shd w:val="clear" w:color="auto" w:fill="auto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shd w:val="clear" w:color="auto" w:fill="auto"/>
            <w:hideMark/>
          </w:tcPr>
          <w:p w:rsidR="00B5372A" w:rsidRPr="00642C18" w:rsidRDefault="00E20DFB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2C18">
              <w:rPr>
                <w:rFonts w:ascii="Arial" w:hAnsi="Arial" w:cs="Arial"/>
                <w:b/>
                <w:bCs/>
              </w:rPr>
              <w:t>Definitions</w:t>
            </w:r>
          </w:p>
        </w:tc>
        <w:tc>
          <w:tcPr>
            <w:tcW w:w="1048" w:type="dxa"/>
            <w:shd w:val="clear" w:color="auto" w:fill="auto"/>
          </w:tcPr>
          <w:p w:rsidR="00B5372A" w:rsidRPr="00642C18" w:rsidRDefault="00B5372A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B5372A" w:rsidRPr="00642C18" w:rsidRDefault="00B5372A" w:rsidP="00B61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Additional definitions do not conflict with statutory requirements.</w:t>
            </w:r>
          </w:p>
        </w:tc>
        <w:tc>
          <w:tcPr>
            <w:tcW w:w="1561" w:type="dxa"/>
            <w:shd w:val="clear" w:color="auto" w:fill="F2F2F2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23" w:type="dxa"/>
            <w:shd w:val="clear" w:color="auto" w:fill="F2F2F2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1356" w:type="dxa"/>
            <w:shd w:val="clear" w:color="auto" w:fill="D9D9D9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14" w:type="dxa"/>
            <w:shd w:val="clear" w:color="auto" w:fill="D9D9D9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407" w:type="dxa"/>
            <w:shd w:val="clear" w:color="auto" w:fill="D9D9D9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3394" w:type="dxa"/>
            <w:shd w:val="clear" w:color="auto" w:fill="D9D9D9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2C18">
              <w:rPr>
                <w:rFonts w:ascii="Arial" w:hAnsi="Arial" w:cs="Arial"/>
                <w:b/>
                <w:bCs/>
              </w:rPr>
              <w:t>Preliminary section</w:t>
            </w:r>
          </w:p>
        </w:tc>
        <w:tc>
          <w:tcPr>
            <w:tcW w:w="1048" w:type="dxa"/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1243D0" w:rsidRPr="00642C18" w:rsidRDefault="001243D0" w:rsidP="004B41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 xml:space="preserve">The drafting of the Preliminary section is consistent with </w:t>
            </w:r>
            <w:r w:rsidR="004B41A3" w:rsidRPr="00642C1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61FE5" w:rsidRPr="00642C18">
              <w:rPr>
                <w:rFonts w:ascii="Arial" w:hAnsi="Arial" w:cs="Arial"/>
                <w:sz w:val="20"/>
                <w:szCs w:val="20"/>
              </w:rPr>
              <w:t>LGIP template</w:t>
            </w:r>
            <w:r w:rsidRPr="00642C18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  <w:tc>
          <w:tcPr>
            <w:tcW w:w="1561" w:type="dxa"/>
            <w:shd w:val="clear" w:color="auto" w:fill="F2F2F2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23" w:type="dxa"/>
            <w:shd w:val="clear" w:color="auto" w:fill="F2F2F2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1356" w:type="dxa"/>
            <w:shd w:val="clear" w:color="auto" w:fill="D9D9D9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14" w:type="dxa"/>
            <w:shd w:val="clear" w:color="auto" w:fill="D9D9D9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407" w:type="dxa"/>
            <w:shd w:val="clear" w:color="auto" w:fill="D9D9D9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3394" w:type="dxa"/>
            <w:shd w:val="clear" w:color="auto" w:fill="D9D9D9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1243D0" w:rsidRPr="00642C18" w:rsidRDefault="00B301E2" w:rsidP="00011C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A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>ll five trun</w:t>
            </w:r>
            <w:r w:rsidRPr="00642C18">
              <w:rPr>
                <w:rFonts w:ascii="Arial" w:hAnsi="Arial" w:cs="Arial"/>
                <w:sz w:val="20"/>
                <w:szCs w:val="20"/>
              </w:rPr>
              <w:t>k networks</w:t>
            </w:r>
            <w:r w:rsidR="002E29C6" w:rsidRPr="00642C18">
              <w:rPr>
                <w:rFonts w:ascii="Arial" w:hAnsi="Arial" w:cs="Arial"/>
                <w:sz w:val="20"/>
                <w:szCs w:val="20"/>
              </w:rPr>
              <w:t xml:space="preserve"> are</w:t>
            </w:r>
            <w:r w:rsidRPr="00642C18">
              <w:rPr>
                <w:rFonts w:ascii="Arial" w:hAnsi="Arial" w:cs="Arial"/>
                <w:sz w:val="20"/>
                <w:szCs w:val="20"/>
              </w:rPr>
              <w:t xml:space="preserve"> included in the LGIP.</w:t>
            </w:r>
            <w:r w:rsidR="002E29C6" w:rsidRPr="00642C1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 xml:space="preserve">If not, which </w:t>
            </w:r>
            <w:r w:rsidR="00011C88" w:rsidRPr="00642C18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>networks</w:t>
            </w:r>
            <w:r w:rsidR="00011C88" w:rsidRPr="00642C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>are excluded</w:t>
            </w:r>
            <w:r w:rsidR="00011C88" w:rsidRPr="00642C18">
              <w:rPr>
                <w:rFonts w:ascii="Arial" w:hAnsi="Arial" w:cs="Arial"/>
                <w:sz w:val="20"/>
                <w:szCs w:val="20"/>
              </w:rPr>
              <w:t xml:space="preserve"> and w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 xml:space="preserve">hy have </w:t>
            </w:r>
            <w:r w:rsidR="00011C88" w:rsidRPr="00642C18">
              <w:rPr>
                <w:rFonts w:ascii="Arial" w:hAnsi="Arial" w:cs="Arial"/>
                <w:sz w:val="20"/>
                <w:szCs w:val="20"/>
              </w:rPr>
              <w:t>t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>he</w:t>
            </w:r>
            <w:r w:rsidR="002E29C6" w:rsidRPr="00642C18">
              <w:rPr>
                <w:rFonts w:ascii="Arial" w:hAnsi="Arial" w:cs="Arial"/>
                <w:sz w:val="20"/>
                <w:szCs w:val="20"/>
              </w:rPr>
              <w:t>y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 xml:space="preserve"> been excluded?</w:t>
            </w:r>
            <w:r w:rsidR="002E29C6" w:rsidRPr="00642C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1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2C18">
              <w:rPr>
                <w:rFonts w:ascii="Arial" w:hAnsi="Arial" w:cs="Arial"/>
                <w:b/>
                <w:bCs/>
              </w:rPr>
              <w:t>Planning assumptions</w:t>
            </w:r>
            <w:r w:rsidR="00BA752C" w:rsidRPr="00642C18">
              <w:rPr>
                <w:rFonts w:ascii="Arial" w:hAnsi="Arial" w:cs="Arial"/>
                <w:b/>
                <w:bCs/>
              </w:rPr>
              <w:t xml:space="preserve"> </w:t>
            </w:r>
            <w:r w:rsidR="007503A7" w:rsidRPr="00642C18">
              <w:rPr>
                <w:rFonts w:ascii="Arial" w:hAnsi="Arial" w:cs="Arial"/>
                <w:b/>
                <w:bCs/>
              </w:rPr>
              <w:t>- structure</w:t>
            </w:r>
          </w:p>
        </w:tc>
        <w:tc>
          <w:tcPr>
            <w:tcW w:w="1048" w:type="dxa"/>
            <w:shd w:val="clear" w:color="auto" w:fill="auto"/>
          </w:tcPr>
          <w:p w:rsidR="00B5372A" w:rsidRPr="00642C18" w:rsidRDefault="00B5372A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BA752C" w:rsidRPr="00642C18" w:rsidRDefault="00B5372A" w:rsidP="004B41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 xml:space="preserve">The drafting of the Planning assumptions section is consistent with </w:t>
            </w:r>
            <w:r w:rsidR="004B41A3" w:rsidRPr="00642C1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61FE5" w:rsidRPr="00642C18">
              <w:rPr>
                <w:rFonts w:ascii="Arial" w:hAnsi="Arial" w:cs="Arial"/>
                <w:sz w:val="20"/>
                <w:szCs w:val="20"/>
              </w:rPr>
              <w:t>LGIP template</w:t>
            </w:r>
            <w:r w:rsidRPr="00642C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F2F2F2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23" w:type="dxa"/>
            <w:shd w:val="clear" w:color="auto" w:fill="F2F2F2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1356" w:type="dxa"/>
            <w:shd w:val="clear" w:color="auto" w:fill="D9D9D9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14" w:type="dxa"/>
            <w:shd w:val="clear" w:color="auto" w:fill="D9D9D9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407" w:type="dxa"/>
            <w:shd w:val="clear" w:color="auto" w:fill="D9D9D9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3394" w:type="dxa"/>
            <w:shd w:val="clear" w:color="auto" w:fill="D9D9D9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</w:tr>
      <w:tr w:rsidR="00D01FCF" w:rsidRPr="008D18FB" w:rsidTr="00D01FCF">
        <w:trPr>
          <w:trHeight w:val="765"/>
        </w:trPr>
        <w:tc>
          <w:tcPr>
            <w:tcW w:w="1341" w:type="dxa"/>
            <w:vMerge/>
            <w:shd w:val="clear" w:color="auto" w:fill="auto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B5372A" w:rsidRPr="00642C18" w:rsidRDefault="00B5372A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 xml:space="preserve">All the projection areas listed in the tables of projections are shown on the </w:t>
            </w:r>
            <w:r w:rsidR="00B301E2" w:rsidRPr="00642C18">
              <w:rPr>
                <w:rFonts w:ascii="Arial" w:hAnsi="Arial" w:cs="Arial"/>
                <w:sz w:val="20"/>
                <w:szCs w:val="20"/>
              </w:rPr>
              <w:t>relevant</w:t>
            </w:r>
            <w:r w:rsidRPr="00642C18">
              <w:rPr>
                <w:rFonts w:ascii="Arial" w:hAnsi="Arial" w:cs="Arial"/>
                <w:sz w:val="20"/>
                <w:szCs w:val="20"/>
              </w:rPr>
              <w:t xml:space="preserve"> map</w:t>
            </w:r>
            <w:r w:rsidR="00B301E2" w:rsidRPr="00642C18">
              <w:rPr>
                <w:rFonts w:ascii="Arial" w:hAnsi="Arial" w:cs="Arial"/>
                <w:sz w:val="20"/>
                <w:szCs w:val="20"/>
              </w:rPr>
              <w:t>s</w:t>
            </w:r>
            <w:r w:rsidRPr="00642C18">
              <w:rPr>
                <w:rFonts w:ascii="Arial" w:hAnsi="Arial" w:cs="Arial"/>
                <w:sz w:val="20"/>
                <w:szCs w:val="20"/>
              </w:rPr>
              <w:t xml:space="preserve"> and vice versa.</w:t>
            </w:r>
          </w:p>
        </w:tc>
        <w:tc>
          <w:tcPr>
            <w:tcW w:w="1561" w:type="dxa"/>
            <w:shd w:val="clear" w:color="auto" w:fill="F2F2F2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23" w:type="dxa"/>
            <w:shd w:val="clear" w:color="auto" w:fill="F2F2F2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1356" w:type="dxa"/>
            <w:shd w:val="clear" w:color="auto" w:fill="D9D9D9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14" w:type="dxa"/>
            <w:shd w:val="clear" w:color="auto" w:fill="D9D9D9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407" w:type="dxa"/>
            <w:shd w:val="clear" w:color="auto" w:fill="D9D9D9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3394" w:type="dxa"/>
            <w:shd w:val="clear" w:color="auto" w:fill="D9D9D9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</w:tr>
      <w:tr w:rsidR="00D01FCF" w:rsidRPr="008D18FB" w:rsidTr="00D01FCF">
        <w:trPr>
          <w:trHeight w:val="765"/>
        </w:trPr>
        <w:tc>
          <w:tcPr>
            <w:tcW w:w="1341" w:type="dxa"/>
            <w:vMerge/>
            <w:shd w:val="clear" w:color="auto" w:fill="auto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B5372A" w:rsidRPr="00514A65" w:rsidRDefault="00B5372A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B5372A" w:rsidRPr="00514A65" w:rsidRDefault="00B5372A" w:rsidP="002C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4A65">
              <w:rPr>
                <w:rFonts w:ascii="Arial" w:hAnsi="Arial" w:cs="Arial"/>
                <w:sz w:val="20"/>
                <w:szCs w:val="20"/>
              </w:rPr>
              <w:t>All the service catchments listed in the tables of projected infrastructure demand are identified on the relevant</w:t>
            </w:r>
            <w:r w:rsidR="007F3EB3" w:rsidRPr="002C0C04">
              <w:t xml:space="preserve"> </w:t>
            </w:r>
            <w:r w:rsidR="007F3EB3">
              <w:t>plans for trunk infrastructure</w:t>
            </w:r>
            <w:r w:rsidRPr="00514A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3EB3">
              <w:rPr>
                <w:rFonts w:ascii="Arial" w:hAnsi="Arial" w:cs="Arial"/>
                <w:sz w:val="20"/>
                <w:szCs w:val="20"/>
              </w:rPr>
              <w:t>(</w:t>
            </w:r>
            <w:r w:rsidRPr="00514A65">
              <w:rPr>
                <w:rFonts w:ascii="Arial" w:hAnsi="Arial" w:cs="Arial"/>
                <w:sz w:val="20"/>
                <w:szCs w:val="20"/>
              </w:rPr>
              <w:t>PFTI</w:t>
            </w:r>
            <w:r w:rsidR="007F3EB3">
              <w:rPr>
                <w:rFonts w:ascii="Arial" w:hAnsi="Arial" w:cs="Arial"/>
                <w:sz w:val="20"/>
                <w:szCs w:val="20"/>
              </w:rPr>
              <w:t>)</w:t>
            </w:r>
            <w:r w:rsidRPr="00514A65">
              <w:rPr>
                <w:rFonts w:ascii="Arial" w:hAnsi="Arial" w:cs="Arial"/>
                <w:sz w:val="20"/>
                <w:szCs w:val="20"/>
              </w:rPr>
              <w:t xml:space="preserve"> maps and vice versa.</w:t>
            </w:r>
          </w:p>
        </w:tc>
        <w:tc>
          <w:tcPr>
            <w:tcW w:w="1561" w:type="dxa"/>
            <w:shd w:val="clear" w:color="auto" w:fill="F2F2F2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23" w:type="dxa"/>
            <w:shd w:val="clear" w:color="auto" w:fill="F2F2F2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1356" w:type="dxa"/>
            <w:shd w:val="clear" w:color="auto" w:fill="D9D9D9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14" w:type="dxa"/>
            <w:shd w:val="clear" w:color="auto" w:fill="D9D9D9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407" w:type="dxa"/>
            <w:shd w:val="clear" w:color="auto" w:fill="D9D9D9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3394" w:type="dxa"/>
            <w:shd w:val="clear" w:color="auto" w:fill="D9D9D9"/>
            <w:hideMark/>
          </w:tcPr>
          <w:p w:rsidR="00B5372A" w:rsidRPr="00642C18" w:rsidRDefault="00B5372A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</w:tr>
      <w:tr w:rsidR="00D01FCF" w:rsidRPr="008D18FB" w:rsidTr="00D01FCF">
        <w:trPr>
          <w:trHeight w:val="765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2C18">
              <w:rPr>
                <w:rFonts w:ascii="Arial" w:hAnsi="Arial" w:cs="Arial"/>
                <w:b/>
                <w:bCs/>
              </w:rPr>
              <w:t>Planning assumptions - methodology</w:t>
            </w:r>
          </w:p>
        </w:tc>
        <w:tc>
          <w:tcPr>
            <w:tcW w:w="1048" w:type="dxa"/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1243D0" w:rsidRPr="00642C18" w:rsidRDefault="002E29C6" w:rsidP="007F3E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T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 xml:space="preserve">he population and dwelling projections </w:t>
            </w:r>
            <w:r w:rsidRPr="00642C18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AE3415" w:rsidRPr="00642C18">
              <w:rPr>
                <w:rFonts w:ascii="Arial" w:hAnsi="Arial" w:cs="Arial"/>
                <w:sz w:val="20"/>
                <w:szCs w:val="20"/>
              </w:rPr>
              <w:t>based on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 xml:space="preserve"> those prepared by the </w:t>
            </w:r>
            <w:r w:rsidR="007F3EB3" w:rsidRPr="00642C18">
              <w:rPr>
                <w:rFonts w:ascii="Arial" w:hAnsi="Arial" w:cs="Arial"/>
                <w:sz w:val="20"/>
                <w:szCs w:val="20"/>
              </w:rPr>
              <w:t>Q</w:t>
            </w:r>
            <w:r w:rsidR="007F3EB3">
              <w:rPr>
                <w:rFonts w:ascii="Arial" w:hAnsi="Arial" w:cs="Arial"/>
                <w:sz w:val="20"/>
                <w:szCs w:val="20"/>
              </w:rPr>
              <w:t>ueensland</w:t>
            </w:r>
            <w:r w:rsidR="007F3EB3" w:rsidRPr="00642C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>Government Statistician (</w:t>
            </w:r>
            <w:r w:rsidR="00B301E2" w:rsidRPr="00642C18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>available at the time of preparation)</w:t>
            </w:r>
            <w:r w:rsidR="00AE3415" w:rsidRPr="00642C18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F71B12" w:rsidRPr="00642C18">
              <w:rPr>
                <w:rFonts w:ascii="Arial" w:hAnsi="Arial" w:cs="Arial"/>
                <w:sz w:val="20"/>
                <w:szCs w:val="20"/>
              </w:rPr>
              <w:t>refine</w:t>
            </w:r>
            <w:r w:rsidR="00E14F78" w:rsidRPr="00642C18">
              <w:rPr>
                <w:rFonts w:ascii="Arial" w:hAnsi="Arial" w:cs="Arial"/>
                <w:sz w:val="20"/>
                <w:szCs w:val="20"/>
              </w:rPr>
              <w:t xml:space="preserve">d to reflect </w:t>
            </w:r>
            <w:r w:rsidR="00F71B12" w:rsidRPr="00642C18">
              <w:rPr>
                <w:rFonts w:ascii="Arial" w:hAnsi="Arial" w:cs="Arial"/>
                <w:sz w:val="20"/>
                <w:szCs w:val="20"/>
              </w:rPr>
              <w:t>d</w:t>
            </w:r>
            <w:r w:rsidR="00AE3415" w:rsidRPr="00642C18">
              <w:rPr>
                <w:rFonts w:ascii="Arial" w:hAnsi="Arial" w:cs="Arial"/>
                <w:sz w:val="20"/>
                <w:szCs w:val="20"/>
              </w:rPr>
              <w:t>evelopment trends in the local government area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The employment and non-residential development projections align with the availab</w:t>
            </w:r>
            <w:r w:rsidR="00B301E2" w:rsidRPr="00642C18">
              <w:rPr>
                <w:rFonts w:ascii="Arial" w:hAnsi="Arial" w:cs="Arial"/>
                <w:sz w:val="20"/>
                <w:szCs w:val="20"/>
              </w:rPr>
              <w:t>le economic development studies,</w:t>
            </w:r>
            <w:r w:rsidRPr="00642C18">
              <w:rPr>
                <w:rFonts w:ascii="Arial" w:hAnsi="Arial" w:cs="Arial"/>
                <w:sz w:val="20"/>
                <w:szCs w:val="20"/>
              </w:rPr>
              <w:t xml:space="preserve"> other reports about employment or historical rates for the area.</w:t>
            </w:r>
          </w:p>
        </w:tc>
        <w:tc>
          <w:tcPr>
            <w:tcW w:w="1561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281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The developable area excludes all areas affected by absolute constraints such as steep slopes, conservation and flooding.</w:t>
            </w:r>
          </w:p>
        </w:tc>
        <w:tc>
          <w:tcPr>
            <w:tcW w:w="1561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 xml:space="preserve">The planned densities reflect realistic levels and types of development having regard to the planning scheme provisions and current development trends. </w:t>
            </w:r>
          </w:p>
        </w:tc>
        <w:tc>
          <w:tcPr>
            <w:tcW w:w="1561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tcBorders>
              <w:top w:val="single" w:sz="4" w:space="0" w:color="auto"/>
            </w:tcBorders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The planned densities account for land required for local roads and other infrastructure.</w:t>
            </w:r>
          </w:p>
        </w:tc>
        <w:tc>
          <w:tcPr>
            <w:tcW w:w="1561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1243D0" w:rsidRPr="00642C18" w:rsidRDefault="001243D0" w:rsidP="002878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 xml:space="preserve">The population and employment projection tables identify “ultimate development” in accordance with the </w:t>
            </w:r>
            <w:r w:rsidR="0028789D" w:rsidRPr="00642C18">
              <w:rPr>
                <w:rFonts w:ascii="Arial" w:hAnsi="Arial" w:cs="Arial"/>
                <w:sz w:val="20"/>
                <w:szCs w:val="20"/>
              </w:rPr>
              <w:t>defined term</w:t>
            </w:r>
            <w:r w:rsidRPr="00642C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Based on the information in the projection tables and other available material, it is possible to verify the remaining capacity to accommodate growth, for each projection area.</w:t>
            </w:r>
          </w:p>
        </w:tc>
        <w:tc>
          <w:tcPr>
            <w:tcW w:w="1561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1243D0" w:rsidRPr="00642C18" w:rsidRDefault="001243D0" w:rsidP="00011C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The</w:t>
            </w:r>
            <w:r w:rsidR="00E14F78" w:rsidRPr="00642C18">
              <w:rPr>
                <w:rFonts w:ascii="Arial" w:hAnsi="Arial" w:cs="Arial"/>
                <w:sz w:val="20"/>
                <w:szCs w:val="20"/>
              </w:rPr>
              <w:t xml:space="preserve"> determination of</w:t>
            </w:r>
            <w:r w:rsidRPr="00642C18">
              <w:rPr>
                <w:rFonts w:ascii="Arial" w:hAnsi="Arial" w:cs="Arial"/>
                <w:sz w:val="20"/>
                <w:szCs w:val="20"/>
              </w:rPr>
              <w:t xml:space="preserve"> planning assumptions</w:t>
            </w:r>
            <w:r w:rsidR="009C3577" w:rsidRPr="00642C18">
              <w:rPr>
                <w:rFonts w:ascii="Arial" w:hAnsi="Arial" w:cs="Arial"/>
                <w:sz w:val="20"/>
                <w:szCs w:val="20"/>
              </w:rPr>
              <w:t xml:space="preserve"> about the </w:t>
            </w:r>
            <w:r w:rsidR="00E14F78" w:rsidRPr="00642C18">
              <w:rPr>
                <w:rFonts w:ascii="Arial" w:hAnsi="Arial" w:cs="Arial"/>
                <w:sz w:val="20"/>
                <w:szCs w:val="20"/>
              </w:rPr>
              <w:t>type, scale, timing and location</w:t>
            </w:r>
            <w:r w:rsidR="009C3577" w:rsidRPr="00642C18">
              <w:rPr>
                <w:rFonts w:ascii="Arial" w:hAnsi="Arial" w:cs="Arial"/>
                <w:sz w:val="20"/>
                <w:szCs w:val="20"/>
              </w:rPr>
              <w:t xml:space="preserve"> of development,</w:t>
            </w:r>
            <w:r w:rsidR="00E14F78" w:rsidRPr="00642C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C18">
              <w:rPr>
                <w:rFonts w:ascii="Arial" w:hAnsi="Arial" w:cs="Arial"/>
                <w:sz w:val="20"/>
                <w:szCs w:val="20"/>
              </w:rPr>
              <w:t>reflect an efficient, sequential pattern of development.</w:t>
            </w:r>
          </w:p>
        </w:tc>
        <w:tc>
          <w:tcPr>
            <w:tcW w:w="1561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1243D0" w:rsidRPr="00642C18" w:rsidRDefault="002E29C6" w:rsidP="002C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T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DA6CE6" w:rsidRPr="00642C18">
              <w:rPr>
                <w:rFonts w:ascii="Arial" w:hAnsi="Arial" w:cs="Arial"/>
                <w:sz w:val="20"/>
                <w:szCs w:val="20"/>
              </w:rPr>
              <w:t xml:space="preserve">relevant state agency </w:t>
            </w:r>
            <w:r w:rsidRPr="00642C18">
              <w:rPr>
                <w:rFonts w:ascii="Arial" w:hAnsi="Arial" w:cs="Arial"/>
                <w:sz w:val="20"/>
                <w:szCs w:val="20"/>
              </w:rPr>
              <w:t>for</w:t>
            </w:r>
            <w:r w:rsidR="00DA6CE6" w:rsidRPr="00642C18">
              <w:rPr>
                <w:rFonts w:ascii="Arial" w:hAnsi="Arial" w:cs="Arial"/>
                <w:sz w:val="20"/>
                <w:szCs w:val="20"/>
              </w:rPr>
              <w:t xml:space="preserve"> transport matters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C18">
              <w:rPr>
                <w:rFonts w:ascii="Arial" w:hAnsi="Arial" w:cs="Arial"/>
                <w:sz w:val="20"/>
                <w:szCs w:val="20"/>
              </w:rPr>
              <w:t xml:space="preserve">and the 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 xml:space="preserve">distributor-retailer </w:t>
            </w:r>
            <w:r w:rsidR="00B21B4B" w:rsidRPr="00642C18">
              <w:rPr>
                <w:rFonts w:ascii="Arial" w:hAnsi="Arial" w:cs="Arial"/>
                <w:sz w:val="20"/>
                <w:szCs w:val="20"/>
              </w:rPr>
              <w:t>responsible for providing water and wastewater services for the area (if applicable),</w:t>
            </w:r>
            <w:r w:rsidRPr="00642C18">
              <w:rPr>
                <w:rFonts w:ascii="Arial" w:hAnsi="Arial" w:cs="Arial"/>
                <w:sz w:val="20"/>
                <w:szCs w:val="20"/>
              </w:rPr>
              <w:t xml:space="preserve"> has</w:t>
            </w:r>
            <w:r w:rsidR="00B21B4B" w:rsidRPr="00642C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 xml:space="preserve">been consulted in the preparation of the LGIP </w:t>
            </w:r>
          </w:p>
          <w:p w:rsidR="001243D0" w:rsidRPr="00642C18" w:rsidRDefault="002E29C6" w:rsidP="002C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(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>What was the outcome of the consultation?</w:t>
            </w:r>
            <w:r w:rsidRPr="00642C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1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2C18">
              <w:rPr>
                <w:rFonts w:ascii="Arial" w:hAnsi="Arial" w:cs="Arial"/>
                <w:b/>
                <w:bCs/>
              </w:rPr>
              <w:t>Planning assumptions - demand</w:t>
            </w:r>
          </w:p>
        </w:tc>
        <w:tc>
          <w:tcPr>
            <w:tcW w:w="1048" w:type="dxa"/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The infrastructure demand projections are based on the projections of population and employment growth.</w:t>
            </w:r>
          </w:p>
        </w:tc>
        <w:tc>
          <w:tcPr>
            <w:tcW w:w="1561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7D6EBC" w:rsidRPr="00642C18" w:rsidRDefault="007D6EBC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7D6EBC" w:rsidRPr="00642C18" w:rsidRDefault="007D6EBC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7D6EBC" w:rsidRPr="00642C18" w:rsidRDefault="007D6EBC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7D6EBC" w:rsidRPr="00642C18" w:rsidRDefault="007D6EBC" w:rsidP="009C35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 xml:space="preserve">The infrastructure </w:t>
            </w:r>
            <w:r w:rsidR="009C3577" w:rsidRPr="00642C18">
              <w:rPr>
                <w:rFonts w:ascii="Arial" w:hAnsi="Arial" w:cs="Arial"/>
                <w:sz w:val="20"/>
                <w:szCs w:val="20"/>
              </w:rPr>
              <w:t xml:space="preserve">units of </w:t>
            </w:r>
            <w:r w:rsidRPr="00642C18">
              <w:rPr>
                <w:rFonts w:ascii="Arial" w:hAnsi="Arial" w:cs="Arial"/>
                <w:sz w:val="20"/>
                <w:szCs w:val="20"/>
              </w:rPr>
              <w:t xml:space="preserve">demand align with those identified in the Minister’s Guidelines and Rules, or where alternative demand units are used, their numerical relationship to the standard </w:t>
            </w:r>
            <w:r w:rsidR="009C3577" w:rsidRPr="00642C18">
              <w:rPr>
                <w:rFonts w:ascii="Arial" w:hAnsi="Arial" w:cs="Arial"/>
                <w:sz w:val="20"/>
                <w:szCs w:val="20"/>
              </w:rPr>
              <w:t>units of demand is identified and explained</w:t>
            </w:r>
            <w:r w:rsidRPr="00642C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F2F2F2"/>
          </w:tcPr>
          <w:p w:rsidR="007D6EBC" w:rsidRPr="00642C18" w:rsidRDefault="007D6EBC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7D6EBC" w:rsidRPr="00642C18" w:rsidRDefault="007D6EBC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7D6EBC" w:rsidRPr="00642C18" w:rsidRDefault="007D6EBC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7D6EBC" w:rsidRPr="00642C18" w:rsidRDefault="007D6EBC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7D6EBC" w:rsidRPr="00642C18" w:rsidRDefault="007D6EBC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7D6EBC" w:rsidRPr="00642C18" w:rsidRDefault="007D6EBC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 xml:space="preserve">The demand generation rates align with accepted rates and/or historical data. </w:t>
            </w:r>
          </w:p>
        </w:tc>
        <w:tc>
          <w:tcPr>
            <w:tcW w:w="1561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The service catchments used for infrastructure demand projections are identified on relevant PFTI maps and demand tables.</w:t>
            </w:r>
          </w:p>
        </w:tc>
        <w:tc>
          <w:tcPr>
            <w:tcW w:w="1561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C23EB4" w:rsidRPr="00642C18" w:rsidRDefault="001243D0" w:rsidP="00D15ED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 xml:space="preserve">The service catchments for each network cover, at a minimum, the </w:t>
            </w:r>
            <w:r w:rsidR="009C3577" w:rsidRPr="00642C18">
              <w:rPr>
                <w:rFonts w:ascii="Arial" w:hAnsi="Arial" w:cs="Arial"/>
                <w:sz w:val="20"/>
                <w:szCs w:val="20"/>
              </w:rPr>
              <w:t>urban area</w:t>
            </w:r>
            <w:r w:rsidR="00982204" w:rsidRPr="00642C18">
              <w:rPr>
                <w:rFonts w:ascii="Arial" w:hAnsi="Arial" w:cs="Arial"/>
                <w:sz w:val="20"/>
                <w:szCs w:val="20"/>
              </w:rPr>
              <w:t>s</w:t>
            </w:r>
            <w:r w:rsidR="00D15ED0" w:rsidRPr="00642C18">
              <w:rPr>
                <w:rFonts w:ascii="Arial" w:hAnsi="Arial" w:cs="Arial"/>
                <w:sz w:val="20"/>
                <w:szCs w:val="20"/>
              </w:rPr>
              <w:t xml:space="preserve">, and enable urban development costs to be </w:t>
            </w:r>
            <w:r w:rsidR="00982204" w:rsidRPr="00642C18">
              <w:rPr>
                <w:rFonts w:ascii="Arial" w:hAnsi="Arial" w:cs="Arial"/>
                <w:sz w:val="20"/>
                <w:szCs w:val="20"/>
              </w:rPr>
              <w:t>compared</w:t>
            </w:r>
            <w:r w:rsidRPr="00642C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1243D0" w:rsidRPr="00642C18" w:rsidRDefault="00C2005C" w:rsidP="002C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T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="00514A65">
              <w:rPr>
                <w:rFonts w:ascii="Arial" w:hAnsi="Arial" w:cs="Arial"/>
                <w:sz w:val="20"/>
                <w:szCs w:val="20"/>
              </w:rPr>
              <w:t>asset management plan</w:t>
            </w:r>
            <w:r w:rsidR="00AD1D51">
              <w:rPr>
                <w:rFonts w:ascii="Arial" w:hAnsi="Arial" w:cs="Arial"/>
                <w:sz w:val="20"/>
                <w:szCs w:val="20"/>
              </w:rPr>
              <w:t xml:space="preserve"> (AMP)</w:t>
            </w:r>
            <w:r w:rsidR="00514A6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AD1D51">
              <w:rPr>
                <w:rFonts w:ascii="Arial" w:hAnsi="Arial" w:cs="Arial"/>
                <w:sz w:val="20"/>
                <w:szCs w:val="20"/>
              </w:rPr>
              <w:t>L</w:t>
            </w:r>
            <w:r w:rsidR="00514A65">
              <w:rPr>
                <w:rFonts w:ascii="Arial" w:hAnsi="Arial" w:cs="Arial"/>
                <w:sz w:val="20"/>
                <w:szCs w:val="20"/>
              </w:rPr>
              <w:t xml:space="preserve">ong </w:t>
            </w:r>
            <w:r w:rsidR="00AD1D51">
              <w:rPr>
                <w:rFonts w:ascii="Arial" w:hAnsi="Arial" w:cs="Arial"/>
                <w:sz w:val="20"/>
                <w:szCs w:val="20"/>
              </w:rPr>
              <w:t>T</w:t>
            </w:r>
            <w:r w:rsidR="00514A65">
              <w:rPr>
                <w:rFonts w:ascii="Arial" w:hAnsi="Arial" w:cs="Arial"/>
                <w:sz w:val="20"/>
                <w:szCs w:val="20"/>
              </w:rPr>
              <w:t xml:space="preserve">erm </w:t>
            </w:r>
            <w:r w:rsidR="00AD1D51">
              <w:rPr>
                <w:rFonts w:ascii="Arial" w:hAnsi="Arial" w:cs="Arial"/>
                <w:sz w:val="20"/>
                <w:szCs w:val="20"/>
              </w:rPr>
              <w:t>F</w:t>
            </w:r>
            <w:r w:rsidR="00514A65">
              <w:rPr>
                <w:rFonts w:ascii="Arial" w:hAnsi="Arial" w:cs="Arial"/>
                <w:sz w:val="20"/>
                <w:szCs w:val="20"/>
              </w:rPr>
              <w:t xml:space="preserve">inancial </w:t>
            </w:r>
            <w:r w:rsidR="00AD1D51">
              <w:rPr>
                <w:rFonts w:ascii="Arial" w:hAnsi="Arial" w:cs="Arial"/>
                <w:sz w:val="20"/>
                <w:szCs w:val="20"/>
              </w:rPr>
              <w:t>F</w:t>
            </w:r>
            <w:r w:rsidR="00514A65">
              <w:rPr>
                <w:rFonts w:ascii="Arial" w:hAnsi="Arial" w:cs="Arial"/>
                <w:sz w:val="20"/>
                <w:szCs w:val="20"/>
              </w:rPr>
              <w:t>orecast</w:t>
            </w:r>
            <w:r w:rsidR="00AD1D51">
              <w:rPr>
                <w:rFonts w:ascii="Arial" w:hAnsi="Arial" w:cs="Arial"/>
                <w:sz w:val="20"/>
                <w:szCs w:val="20"/>
              </w:rPr>
              <w:t xml:space="preserve"> (LTFF) 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>align with the</w:t>
            </w:r>
            <w:r w:rsidRPr="00642C18">
              <w:rPr>
                <w:rFonts w:ascii="Arial" w:hAnsi="Arial" w:cs="Arial"/>
                <w:sz w:val="20"/>
                <w:szCs w:val="20"/>
              </w:rPr>
              <w:t xml:space="preserve"> LGIP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642C18">
              <w:rPr>
                <w:rFonts w:ascii="Arial" w:hAnsi="Arial" w:cs="Arial"/>
                <w:sz w:val="20"/>
                <w:szCs w:val="20"/>
              </w:rPr>
              <w:t>rojections of growth and demand.</w:t>
            </w:r>
          </w:p>
          <w:p w:rsidR="001243D0" w:rsidRPr="00642C18" w:rsidRDefault="002E29C6" w:rsidP="00011C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(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 xml:space="preserve">If not, </w:t>
            </w:r>
            <w:r w:rsidR="00011C88" w:rsidRPr="00642C18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 xml:space="preserve">process </w:t>
            </w:r>
            <w:r w:rsidR="00011C88" w:rsidRPr="00642C18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>underway to achieve this?</w:t>
            </w:r>
            <w:r w:rsidRPr="00642C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1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1243D0" w:rsidRPr="00642C18" w:rsidRDefault="0028789D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2C18">
              <w:rPr>
                <w:rFonts w:ascii="Arial" w:hAnsi="Arial" w:cs="Arial"/>
                <w:b/>
                <w:bCs/>
              </w:rPr>
              <w:t>Priority</w:t>
            </w:r>
            <w:r w:rsidR="001243D0" w:rsidRPr="00642C18">
              <w:rPr>
                <w:rFonts w:ascii="Arial" w:hAnsi="Arial" w:cs="Arial"/>
                <w:b/>
                <w:bCs/>
              </w:rPr>
              <w:t xml:space="preserve"> infrastructure area (PIA)</w:t>
            </w:r>
          </w:p>
        </w:tc>
        <w:tc>
          <w:tcPr>
            <w:tcW w:w="1048" w:type="dxa"/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 xml:space="preserve">The drafting of the PIA section is consistent with the LGIP template. </w:t>
            </w:r>
          </w:p>
        </w:tc>
        <w:tc>
          <w:tcPr>
            <w:tcW w:w="1561" w:type="dxa"/>
            <w:shd w:val="clear" w:color="auto" w:fill="F2F2F2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23" w:type="dxa"/>
            <w:shd w:val="clear" w:color="auto" w:fill="F2F2F2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1356" w:type="dxa"/>
            <w:shd w:val="clear" w:color="auto" w:fill="D9D9D9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14" w:type="dxa"/>
            <w:shd w:val="clear" w:color="auto" w:fill="D9D9D9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407" w:type="dxa"/>
            <w:shd w:val="clear" w:color="auto" w:fill="D9D9D9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3394" w:type="dxa"/>
            <w:shd w:val="clear" w:color="auto" w:fill="D9D9D9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</w:tr>
      <w:tr w:rsidR="00D01FCF" w:rsidRPr="008D18FB" w:rsidTr="00D01FCF">
        <w:trPr>
          <w:trHeight w:val="255"/>
        </w:trPr>
        <w:tc>
          <w:tcPr>
            <w:tcW w:w="1341" w:type="dxa"/>
            <w:vMerge/>
            <w:shd w:val="clear" w:color="auto" w:fill="auto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1243D0" w:rsidRPr="00642C18" w:rsidRDefault="00C2005C" w:rsidP="002C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T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 xml:space="preserve">ext references to PIA map(s) </w:t>
            </w:r>
            <w:r w:rsidRPr="00642C18">
              <w:rPr>
                <w:rFonts w:ascii="Arial" w:hAnsi="Arial" w:cs="Arial"/>
                <w:sz w:val="20"/>
                <w:szCs w:val="20"/>
              </w:rPr>
              <w:t>are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 xml:space="preserve"> correct.</w:t>
            </w:r>
          </w:p>
        </w:tc>
        <w:tc>
          <w:tcPr>
            <w:tcW w:w="1561" w:type="dxa"/>
            <w:shd w:val="clear" w:color="auto" w:fill="F2F2F2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23" w:type="dxa"/>
            <w:shd w:val="clear" w:color="auto" w:fill="F2F2F2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1356" w:type="dxa"/>
            <w:shd w:val="clear" w:color="auto" w:fill="D9D9D9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14" w:type="dxa"/>
            <w:shd w:val="clear" w:color="auto" w:fill="D9D9D9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407" w:type="dxa"/>
            <w:shd w:val="clear" w:color="auto" w:fill="D9D9D9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3394" w:type="dxa"/>
            <w:shd w:val="clear" w:color="auto" w:fill="D9D9D9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</w:tr>
      <w:tr w:rsidR="00D01FCF" w:rsidRPr="008D18FB" w:rsidTr="00D01FCF">
        <w:trPr>
          <w:trHeight w:val="765"/>
        </w:trPr>
        <w:tc>
          <w:tcPr>
            <w:tcW w:w="1341" w:type="dxa"/>
            <w:vMerge/>
            <w:shd w:val="clear" w:color="auto" w:fill="auto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 xml:space="preserve">The PIA boundary shown on the PIA map is legible at </w:t>
            </w:r>
            <w:r w:rsidR="00C2005C" w:rsidRPr="00642C18">
              <w:rPr>
                <w:rFonts w:ascii="Arial" w:hAnsi="Arial" w:cs="Arial"/>
                <w:sz w:val="20"/>
                <w:szCs w:val="20"/>
              </w:rPr>
              <w:t>a</w:t>
            </w:r>
            <w:r w:rsidRPr="00642C18">
              <w:rPr>
                <w:rFonts w:ascii="Arial" w:hAnsi="Arial" w:cs="Arial"/>
                <w:sz w:val="20"/>
                <w:szCs w:val="20"/>
              </w:rPr>
              <w:t xml:space="preserve"> lot level and the planning scheme zoning is also shown on the map.</w:t>
            </w:r>
          </w:p>
        </w:tc>
        <w:tc>
          <w:tcPr>
            <w:tcW w:w="1561" w:type="dxa"/>
            <w:shd w:val="clear" w:color="auto" w:fill="F2F2F2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23" w:type="dxa"/>
            <w:shd w:val="clear" w:color="auto" w:fill="F2F2F2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1356" w:type="dxa"/>
            <w:shd w:val="clear" w:color="auto" w:fill="D9D9D9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14" w:type="dxa"/>
            <w:shd w:val="clear" w:color="auto" w:fill="D9D9D9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407" w:type="dxa"/>
            <w:shd w:val="clear" w:color="auto" w:fill="D9D9D9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3394" w:type="dxa"/>
            <w:shd w:val="clear" w:color="auto" w:fill="D9D9D9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</w:tr>
      <w:tr w:rsidR="00D01FCF" w:rsidRPr="008D18FB" w:rsidTr="00D01FCF">
        <w:trPr>
          <w:trHeight w:val="765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The PIA includes all areas of existing urban development serviced by all relevant trunk infrastructure networks at the time the LGIP was prepared.</w:t>
            </w:r>
          </w:p>
        </w:tc>
        <w:tc>
          <w:tcPr>
            <w:tcW w:w="1561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26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The PIA accommodates growth for at least 10 years but no more than 15 years.</w:t>
            </w:r>
          </w:p>
        </w:tc>
        <w:tc>
          <w:tcPr>
            <w:tcW w:w="1561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629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1243D0" w:rsidRPr="00642C18" w:rsidRDefault="002E29C6" w:rsidP="002E29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 xml:space="preserve">The PIA achieves an efficient, sequential pattern of development. </w:t>
            </w:r>
          </w:p>
        </w:tc>
        <w:tc>
          <w:tcPr>
            <w:tcW w:w="1561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70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2E29C6" w:rsidRPr="00642C18" w:rsidRDefault="002E29C6" w:rsidP="002E29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 xml:space="preserve">If there </w:t>
            </w:r>
            <w:r w:rsidR="004D2CA7" w:rsidRPr="00642C18">
              <w:rPr>
                <w:rFonts w:ascii="Arial" w:hAnsi="Arial" w:cs="Arial"/>
                <w:sz w:val="20"/>
                <w:szCs w:val="20"/>
              </w:rPr>
              <w:t>is an</w:t>
            </w:r>
            <w:r w:rsidRPr="00642C18">
              <w:rPr>
                <w:rFonts w:ascii="Arial" w:hAnsi="Arial" w:cs="Arial"/>
                <w:sz w:val="20"/>
                <w:szCs w:val="20"/>
              </w:rPr>
              <w:t xml:space="preserve"> area outside the PIA that the planning assumptions show </w:t>
            </w:r>
            <w:r w:rsidR="004D2CA7" w:rsidRPr="00642C18">
              <w:rPr>
                <w:rFonts w:ascii="Arial" w:hAnsi="Arial" w:cs="Arial"/>
                <w:sz w:val="20"/>
                <w:szCs w:val="20"/>
              </w:rPr>
              <w:t>is</w:t>
            </w:r>
            <w:r w:rsidRPr="00642C18">
              <w:rPr>
                <w:rFonts w:ascii="Arial" w:hAnsi="Arial" w:cs="Arial"/>
                <w:sz w:val="20"/>
                <w:szCs w:val="20"/>
              </w:rPr>
              <w:t xml:space="preserve"> needed for  urban growth in the next 10 to 15 years,  </w:t>
            </w:r>
          </w:p>
          <w:p w:rsidR="001243D0" w:rsidRPr="00642C18" w:rsidRDefault="002E29C6" w:rsidP="004D2C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why ha</w:t>
            </w:r>
            <w:r w:rsidR="004D2CA7" w:rsidRPr="00642C18">
              <w:rPr>
                <w:rFonts w:ascii="Arial" w:hAnsi="Arial" w:cs="Arial"/>
                <w:sz w:val="20"/>
                <w:szCs w:val="20"/>
              </w:rPr>
              <w:t>s</w:t>
            </w:r>
            <w:r w:rsidRPr="00642C18">
              <w:rPr>
                <w:rFonts w:ascii="Arial" w:hAnsi="Arial" w:cs="Arial"/>
                <w:sz w:val="20"/>
                <w:szCs w:val="20"/>
              </w:rPr>
              <w:t xml:space="preserve"> th</w:t>
            </w:r>
            <w:r w:rsidR="004D2CA7" w:rsidRPr="00642C18">
              <w:rPr>
                <w:rFonts w:ascii="Arial" w:hAnsi="Arial" w:cs="Arial"/>
                <w:sz w:val="20"/>
                <w:szCs w:val="20"/>
              </w:rPr>
              <w:t>e</w:t>
            </w:r>
            <w:r w:rsidRPr="00642C18">
              <w:rPr>
                <w:rFonts w:ascii="Arial" w:hAnsi="Arial" w:cs="Arial"/>
                <w:sz w:val="20"/>
                <w:szCs w:val="20"/>
              </w:rPr>
              <w:t xml:space="preserve"> area been excluded from the PIA?</w:t>
            </w:r>
          </w:p>
        </w:tc>
        <w:tc>
          <w:tcPr>
            <w:tcW w:w="1561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64"/>
        </w:trPr>
        <w:tc>
          <w:tcPr>
            <w:tcW w:w="1341" w:type="dxa"/>
            <w:vMerge/>
            <w:shd w:val="clear" w:color="auto" w:fill="auto"/>
            <w:hideMark/>
          </w:tcPr>
          <w:p w:rsidR="007503A7" w:rsidRPr="00642C18" w:rsidRDefault="007503A7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7503A7" w:rsidRPr="00642C18" w:rsidRDefault="007503A7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2C18">
              <w:rPr>
                <w:rFonts w:ascii="Arial" w:hAnsi="Arial" w:cs="Arial"/>
                <w:b/>
                <w:bCs/>
              </w:rPr>
              <w:t>Desired standards of service (DSS)</w:t>
            </w:r>
          </w:p>
        </w:tc>
        <w:tc>
          <w:tcPr>
            <w:tcW w:w="1048" w:type="dxa"/>
            <w:shd w:val="clear" w:color="auto" w:fill="auto"/>
          </w:tcPr>
          <w:p w:rsidR="007503A7" w:rsidRPr="00642C18" w:rsidRDefault="007503A7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7503A7" w:rsidRPr="00642C18" w:rsidRDefault="007503A7" w:rsidP="002C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The drafting of the DSS section is consistent with the LGIP template.</w:t>
            </w:r>
          </w:p>
        </w:tc>
        <w:tc>
          <w:tcPr>
            <w:tcW w:w="1561" w:type="dxa"/>
            <w:shd w:val="clear" w:color="auto" w:fill="F2F2F2"/>
            <w:hideMark/>
          </w:tcPr>
          <w:p w:rsidR="007503A7" w:rsidRPr="00642C18" w:rsidRDefault="007503A7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23" w:type="dxa"/>
            <w:shd w:val="clear" w:color="auto" w:fill="F2F2F2"/>
            <w:hideMark/>
          </w:tcPr>
          <w:p w:rsidR="007503A7" w:rsidRPr="00642C18" w:rsidRDefault="007503A7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1356" w:type="dxa"/>
            <w:shd w:val="clear" w:color="auto" w:fill="D9D9D9"/>
            <w:hideMark/>
          </w:tcPr>
          <w:p w:rsidR="007503A7" w:rsidRPr="00642C18" w:rsidRDefault="007503A7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14" w:type="dxa"/>
            <w:shd w:val="clear" w:color="auto" w:fill="D9D9D9"/>
            <w:hideMark/>
          </w:tcPr>
          <w:p w:rsidR="007503A7" w:rsidRPr="00642C18" w:rsidRDefault="007503A7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407" w:type="dxa"/>
            <w:shd w:val="clear" w:color="auto" w:fill="D9D9D9"/>
            <w:hideMark/>
          </w:tcPr>
          <w:p w:rsidR="007503A7" w:rsidRPr="00642C18" w:rsidRDefault="007503A7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3394" w:type="dxa"/>
            <w:shd w:val="clear" w:color="auto" w:fill="D9D9D9"/>
            <w:hideMark/>
          </w:tcPr>
          <w:p w:rsidR="007503A7" w:rsidRPr="00642C18" w:rsidRDefault="007503A7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</w:tr>
      <w:tr w:rsidR="00D01FCF" w:rsidRPr="008D18FB" w:rsidTr="00D01FCF">
        <w:trPr>
          <w:trHeight w:val="700"/>
        </w:trPr>
        <w:tc>
          <w:tcPr>
            <w:tcW w:w="1341" w:type="dxa"/>
            <w:vMerge/>
            <w:shd w:val="clear" w:color="auto" w:fill="auto"/>
            <w:hideMark/>
          </w:tcPr>
          <w:p w:rsidR="007503A7" w:rsidRPr="00642C18" w:rsidRDefault="007503A7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  <w:hideMark/>
          </w:tcPr>
          <w:p w:rsidR="007503A7" w:rsidRPr="00642C18" w:rsidRDefault="007503A7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7503A7" w:rsidRPr="00642C18" w:rsidRDefault="007503A7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7503A7" w:rsidRPr="00642C18" w:rsidRDefault="007503A7" w:rsidP="002C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 xml:space="preserve">The DSS section states the key planning and design standards for </w:t>
            </w:r>
            <w:r w:rsidR="00B36533" w:rsidRPr="00642C18">
              <w:rPr>
                <w:rFonts w:ascii="Arial" w:hAnsi="Arial" w:cs="Arial"/>
                <w:sz w:val="20"/>
                <w:szCs w:val="20"/>
              </w:rPr>
              <w:t>each</w:t>
            </w:r>
            <w:r w:rsidRPr="00642C18">
              <w:rPr>
                <w:rFonts w:ascii="Arial" w:hAnsi="Arial" w:cs="Arial"/>
                <w:sz w:val="20"/>
                <w:szCs w:val="20"/>
              </w:rPr>
              <w:t xml:space="preserve"> network.</w:t>
            </w:r>
          </w:p>
        </w:tc>
        <w:tc>
          <w:tcPr>
            <w:tcW w:w="1561" w:type="dxa"/>
            <w:shd w:val="clear" w:color="auto" w:fill="F2F2F2"/>
            <w:hideMark/>
          </w:tcPr>
          <w:p w:rsidR="007503A7" w:rsidRPr="00642C18" w:rsidRDefault="007503A7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23" w:type="dxa"/>
            <w:shd w:val="clear" w:color="auto" w:fill="F2F2F2"/>
            <w:hideMark/>
          </w:tcPr>
          <w:p w:rsidR="007503A7" w:rsidRPr="00642C18" w:rsidRDefault="007503A7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1356" w:type="dxa"/>
            <w:shd w:val="clear" w:color="auto" w:fill="D9D9D9"/>
            <w:hideMark/>
          </w:tcPr>
          <w:p w:rsidR="007503A7" w:rsidRPr="00642C18" w:rsidRDefault="007503A7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14" w:type="dxa"/>
            <w:shd w:val="clear" w:color="auto" w:fill="D9D9D9"/>
            <w:hideMark/>
          </w:tcPr>
          <w:p w:rsidR="007503A7" w:rsidRPr="00642C18" w:rsidRDefault="007503A7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407" w:type="dxa"/>
            <w:shd w:val="clear" w:color="auto" w:fill="D9D9D9"/>
            <w:hideMark/>
          </w:tcPr>
          <w:p w:rsidR="007503A7" w:rsidRPr="00642C18" w:rsidRDefault="007503A7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3394" w:type="dxa"/>
            <w:shd w:val="clear" w:color="auto" w:fill="D9D9D9"/>
            <w:hideMark/>
          </w:tcPr>
          <w:p w:rsidR="007503A7" w:rsidRPr="00642C18" w:rsidRDefault="007503A7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</w:tr>
      <w:tr w:rsidR="00D01FCF" w:rsidRPr="008D18FB" w:rsidTr="00D01FCF">
        <w:trPr>
          <w:trHeight w:val="765"/>
        </w:trPr>
        <w:tc>
          <w:tcPr>
            <w:tcW w:w="1341" w:type="dxa"/>
            <w:vMerge/>
            <w:shd w:val="clear" w:color="auto" w:fill="auto"/>
            <w:hideMark/>
          </w:tcPr>
          <w:p w:rsidR="007503A7" w:rsidRPr="00642C18" w:rsidRDefault="007503A7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  <w:hideMark/>
          </w:tcPr>
          <w:p w:rsidR="007503A7" w:rsidRPr="00642C18" w:rsidRDefault="007503A7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7503A7" w:rsidRPr="00642C18" w:rsidRDefault="007503A7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7503A7" w:rsidRPr="00642C18" w:rsidRDefault="00B36533" w:rsidP="001A41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The DSS reflects</w:t>
            </w:r>
            <w:r w:rsidR="003C1EEC" w:rsidRPr="00642C18">
              <w:rPr>
                <w:rFonts w:ascii="Arial" w:hAnsi="Arial" w:cs="Arial"/>
                <w:sz w:val="20"/>
                <w:szCs w:val="20"/>
              </w:rPr>
              <w:t xml:space="preserve"> the key, high level</w:t>
            </w:r>
            <w:r w:rsidRPr="00642C18">
              <w:rPr>
                <w:rFonts w:ascii="Arial" w:hAnsi="Arial" w:cs="Arial"/>
                <w:sz w:val="20"/>
                <w:szCs w:val="20"/>
              </w:rPr>
              <w:t xml:space="preserve"> industry standards, regulat</w:t>
            </w:r>
            <w:r w:rsidR="00EB5986" w:rsidRPr="00642C18">
              <w:rPr>
                <w:rFonts w:ascii="Arial" w:hAnsi="Arial" w:cs="Arial"/>
                <w:sz w:val="20"/>
                <w:szCs w:val="20"/>
              </w:rPr>
              <w:t>ions</w:t>
            </w:r>
            <w:r w:rsidRPr="00642C18">
              <w:rPr>
                <w:rFonts w:ascii="Arial" w:hAnsi="Arial" w:cs="Arial"/>
                <w:sz w:val="20"/>
                <w:szCs w:val="20"/>
              </w:rPr>
              <w:t xml:space="preserve"> and codes, and planning scheme policies about infrastructure.</w:t>
            </w:r>
          </w:p>
        </w:tc>
        <w:tc>
          <w:tcPr>
            <w:tcW w:w="1561" w:type="dxa"/>
            <w:shd w:val="clear" w:color="auto" w:fill="F2F2F2"/>
            <w:hideMark/>
          </w:tcPr>
          <w:p w:rsidR="007503A7" w:rsidRPr="00642C18" w:rsidRDefault="007503A7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23" w:type="dxa"/>
            <w:shd w:val="clear" w:color="auto" w:fill="F2F2F2"/>
            <w:hideMark/>
          </w:tcPr>
          <w:p w:rsidR="007503A7" w:rsidRPr="00642C18" w:rsidRDefault="007503A7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1356" w:type="dxa"/>
            <w:shd w:val="clear" w:color="auto" w:fill="D9D9D9"/>
            <w:hideMark/>
          </w:tcPr>
          <w:p w:rsidR="007503A7" w:rsidRPr="00642C18" w:rsidRDefault="007503A7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14" w:type="dxa"/>
            <w:shd w:val="clear" w:color="auto" w:fill="D9D9D9"/>
            <w:hideMark/>
          </w:tcPr>
          <w:p w:rsidR="007503A7" w:rsidRPr="00642C18" w:rsidRDefault="007503A7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407" w:type="dxa"/>
            <w:shd w:val="clear" w:color="auto" w:fill="D9D9D9"/>
            <w:hideMark/>
          </w:tcPr>
          <w:p w:rsidR="007503A7" w:rsidRPr="00642C18" w:rsidRDefault="007503A7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3394" w:type="dxa"/>
            <w:shd w:val="clear" w:color="auto" w:fill="D9D9D9"/>
            <w:hideMark/>
          </w:tcPr>
          <w:p w:rsidR="007503A7" w:rsidRPr="00642C18" w:rsidRDefault="007503A7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</w:tr>
      <w:tr w:rsidR="00D01FCF" w:rsidRPr="008D18FB" w:rsidTr="00D01FCF">
        <w:trPr>
          <w:trHeight w:val="555"/>
        </w:trPr>
        <w:tc>
          <w:tcPr>
            <w:tcW w:w="1341" w:type="dxa"/>
            <w:vMerge/>
            <w:shd w:val="clear" w:color="auto" w:fill="auto"/>
          </w:tcPr>
          <w:p w:rsidR="000D6044" w:rsidRPr="00642C18" w:rsidRDefault="000D6044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0D6044" w:rsidRPr="00642C18" w:rsidRDefault="000D6044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0D6044" w:rsidRPr="00642C18" w:rsidRDefault="000D6044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3C1EEC" w:rsidRPr="00642C18" w:rsidRDefault="00C2005C" w:rsidP="002C0C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T</w:t>
            </w:r>
            <w:r w:rsidR="003C1EEC" w:rsidRPr="00642C18">
              <w:rPr>
                <w:rFonts w:ascii="Arial" w:hAnsi="Arial" w:cs="Arial"/>
                <w:sz w:val="20"/>
                <w:szCs w:val="20"/>
              </w:rPr>
              <w:t>here</w:t>
            </w:r>
            <w:r w:rsidRPr="00642C18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="003C1EEC" w:rsidRPr="00642C18">
              <w:rPr>
                <w:rFonts w:ascii="Arial" w:hAnsi="Arial" w:cs="Arial"/>
                <w:sz w:val="20"/>
                <w:szCs w:val="20"/>
              </w:rPr>
              <w:t xml:space="preserve"> alignment between the relevant levels of service stated in the local government’s </w:t>
            </w:r>
            <w:r w:rsidRPr="00642C18">
              <w:rPr>
                <w:rFonts w:ascii="Arial" w:hAnsi="Arial" w:cs="Arial"/>
                <w:sz w:val="20"/>
                <w:szCs w:val="20"/>
              </w:rPr>
              <w:t>AMP and the LGIP.</w:t>
            </w:r>
          </w:p>
          <w:p w:rsidR="000D6044" w:rsidRPr="00642C18" w:rsidRDefault="002E29C6" w:rsidP="00011C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(</w:t>
            </w:r>
            <w:r w:rsidR="003C1EEC" w:rsidRPr="00642C18">
              <w:rPr>
                <w:rFonts w:ascii="Arial" w:hAnsi="Arial" w:cs="Arial"/>
                <w:sz w:val="20"/>
                <w:szCs w:val="20"/>
              </w:rPr>
              <w:t>If not,</w:t>
            </w:r>
            <w:r w:rsidR="00011C88" w:rsidRPr="00642C18">
              <w:rPr>
                <w:rFonts w:ascii="Arial" w:hAnsi="Arial" w:cs="Arial"/>
                <w:sz w:val="20"/>
                <w:szCs w:val="20"/>
              </w:rPr>
              <w:t xml:space="preserve"> what </w:t>
            </w:r>
            <w:r w:rsidR="003C1EEC" w:rsidRPr="00642C18">
              <w:rPr>
                <w:rFonts w:ascii="Arial" w:hAnsi="Arial" w:cs="Arial"/>
                <w:sz w:val="20"/>
                <w:szCs w:val="20"/>
              </w:rPr>
              <w:t xml:space="preserve">process </w:t>
            </w:r>
            <w:r w:rsidR="00011C88" w:rsidRPr="00642C18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3C1EEC" w:rsidRPr="00642C18">
              <w:rPr>
                <w:rFonts w:ascii="Arial" w:hAnsi="Arial" w:cs="Arial"/>
                <w:sz w:val="20"/>
                <w:szCs w:val="20"/>
              </w:rPr>
              <w:t>underway to achieve this?</w:t>
            </w:r>
            <w:r w:rsidRPr="00642C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1" w:type="dxa"/>
            <w:shd w:val="clear" w:color="auto" w:fill="F2F2F2"/>
          </w:tcPr>
          <w:p w:rsidR="000D6044" w:rsidRPr="00642C18" w:rsidRDefault="000D6044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0D6044" w:rsidRPr="00642C18" w:rsidRDefault="000D6044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0D6044" w:rsidRPr="00642C18" w:rsidRDefault="000D6044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0D6044" w:rsidRPr="00642C18" w:rsidRDefault="000D6044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0D6044" w:rsidRPr="00642C18" w:rsidRDefault="000D6044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0D6044" w:rsidRPr="00642C18" w:rsidRDefault="000D6044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 w:val="restart"/>
            <w:shd w:val="clear" w:color="auto" w:fill="auto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2C18">
              <w:rPr>
                <w:rFonts w:ascii="Arial" w:hAnsi="Arial" w:cs="Arial"/>
                <w:b/>
                <w:bCs/>
              </w:rPr>
              <w:t>Plans for trunk infrastructure (PFTI) – structure and text</w:t>
            </w:r>
          </w:p>
        </w:tc>
        <w:tc>
          <w:tcPr>
            <w:tcW w:w="1048" w:type="dxa"/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1243D0" w:rsidRPr="00642C18" w:rsidRDefault="001243D0" w:rsidP="004B41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 xml:space="preserve">The drafting of the PFTI section is consistent with the </w:t>
            </w:r>
            <w:r w:rsidR="00B61FE5" w:rsidRPr="00642C18">
              <w:rPr>
                <w:rFonts w:ascii="Arial" w:hAnsi="Arial" w:cs="Arial"/>
                <w:sz w:val="20"/>
                <w:szCs w:val="20"/>
              </w:rPr>
              <w:t>LGIP template</w:t>
            </w:r>
            <w:r w:rsidRPr="00642C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F2F2F2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23" w:type="dxa"/>
            <w:shd w:val="clear" w:color="auto" w:fill="F2F2F2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1356" w:type="dxa"/>
            <w:shd w:val="clear" w:color="auto" w:fill="D9D9D9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14" w:type="dxa"/>
            <w:shd w:val="clear" w:color="auto" w:fill="D9D9D9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407" w:type="dxa"/>
            <w:shd w:val="clear" w:color="auto" w:fill="D9D9D9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3394" w:type="dxa"/>
            <w:shd w:val="clear" w:color="auto" w:fill="D9D9D9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PFTI maps are identified for all networks listed in the Preliminary section.</w:t>
            </w:r>
          </w:p>
        </w:tc>
        <w:tc>
          <w:tcPr>
            <w:tcW w:w="1561" w:type="dxa"/>
            <w:shd w:val="clear" w:color="auto" w:fill="F2F2F2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23" w:type="dxa"/>
            <w:shd w:val="clear" w:color="auto" w:fill="F2F2F2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1356" w:type="dxa"/>
            <w:shd w:val="clear" w:color="auto" w:fill="D9D9D9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14" w:type="dxa"/>
            <w:shd w:val="clear" w:color="auto" w:fill="D9D9D9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407" w:type="dxa"/>
            <w:shd w:val="clear" w:color="auto" w:fill="D9D9D9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3394" w:type="dxa"/>
            <w:shd w:val="clear" w:color="auto" w:fill="D9D9D9"/>
            <w:hideMark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PFTI schedule of works summary tables for future infrastructure are included for all networks listed in the Preliminary section.</w:t>
            </w:r>
          </w:p>
        </w:tc>
        <w:tc>
          <w:tcPr>
            <w:tcW w:w="1561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2C18">
              <w:rPr>
                <w:rFonts w:ascii="Arial" w:hAnsi="Arial" w:cs="Arial"/>
                <w:b/>
                <w:bCs/>
              </w:rPr>
              <w:t>PFTI – Maps</w:t>
            </w:r>
          </w:p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2C18">
              <w:rPr>
                <w:rFonts w:ascii="Arial" w:hAnsi="Arial" w:cs="Arial"/>
                <w:i/>
              </w:rPr>
              <w:t>[Add rows to the checklist to address these items for each of the networks]</w:t>
            </w:r>
          </w:p>
        </w:tc>
        <w:tc>
          <w:tcPr>
            <w:tcW w:w="1048" w:type="dxa"/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1243D0" w:rsidRPr="00642C18" w:rsidRDefault="001243D0" w:rsidP="007F3E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 xml:space="preserve">The maps clearly </w:t>
            </w:r>
            <w:r w:rsidR="007F3EB3">
              <w:rPr>
                <w:rFonts w:ascii="Arial" w:hAnsi="Arial" w:cs="Arial"/>
                <w:sz w:val="20"/>
                <w:szCs w:val="20"/>
              </w:rPr>
              <w:t xml:space="preserve">differentiate between </w:t>
            </w:r>
            <w:r w:rsidRPr="00642C18">
              <w:rPr>
                <w:rFonts w:ascii="Arial" w:hAnsi="Arial" w:cs="Arial"/>
                <w:sz w:val="20"/>
                <w:szCs w:val="20"/>
              </w:rPr>
              <w:t>existing and future trunk infrastructure networks.</w:t>
            </w:r>
          </w:p>
        </w:tc>
        <w:tc>
          <w:tcPr>
            <w:tcW w:w="1561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 xml:space="preserve">The service catchments referenced in the </w:t>
            </w:r>
            <w:r w:rsidR="007F3EB3">
              <w:rPr>
                <w:rFonts w:ascii="Arial" w:hAnsi="Arial" w:cs="Arial"/>
                <w:sz w:val="20"/>
                <w:szCs w:val="20"/>
              </w:rPr>
              <w:t>schedule of works (</w:t>
            </w:r>
            <w:r w:rsidRPr="00642C18">
              <w:rPr>
                <w:rFonts w:ascii="Arial" w:hAnsi="Arial" w:cs="Arial"/>
                <w:sz w:val="20"/>
                <w:szCs w:val="20"/>
              </w:rPr>
              <w:t>SOW</w:t>
            </w:r>
            <w:r w:rsidR="007F3EB3">
              <w:rPr>
                <w:rFonts w:ascii="Arial" w:hAnsi="Arial" w:cs="Arial"/>
                <w:sz w:val="20"/>
                <w:szCs w:val="20"/>
              </w:rPr>
              <w:t>)</w:t>
            </w:r>
            <w:r w:rsidRPr="00642C18">
              <w:rPr>
                <w:rFonts w:ascii="Arial" w:hAnsi="Arial" w:cs="Arial"/>
                <w:sz w:val="20"/>
                <w:szCs w:val="20"/>
              </w:rPr>
              <w:t xml:space="preserve"> model and infrastructure demand summary tables are shown clearly on the maps.</w:t>
            </w:r>
          </w:p>
        </w:tc>
        <w:tc>
          <w:tcPr>
            <w:tcW w:w="1561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Future trunk infrastructure components are identified (at summary project level) clearly on the maps including a legible map reference.</w:t>
            </w:r>
          </w:p>
        </w:tc>
        <w:tc>
          <w:tcPr>
            <w:tcW w:w="1561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The infrastructure map reference is shown in the SOW model and summary schedule of works table in the LGIP.</w:t>
            </w:r>
          </w:p>
        </w:tc>
        <w:tc>
          <w:tcPr>
            <w:tcW w:w="1561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2C18">
              <w:rPr>
                <w:rFonts w:ascii="Arial" w:hAnsi="Arial" w:cs="Arial"/>
                <w:b/>
                <w:bCs/>
              </w:rPr>
              <w:t>Schedules of works</w:t>
            </w:r>
          </w:p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2C18">
              <w:rPr>
                <w:rFonts w:ascii="Arial" w:hAnsi="Arial" w:cs="Arial"/>
                <w:i/>
              </w:rPr>
              <w:t>[Add rows to the checklist to address these items for each of the networks]</w:t>
            </w:r>
          </w:p>
        </w:tc>
        <w:tc>
          <w:tcPr>
            <w:tcW w:w="1048" w:type="dxa"/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1243D0" w:rsidRPr="00642C18" w:rsidRDefault="001243D0" w:rsidP="007F3E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The schedule of works tables in the LGIP compl</w:t>
            </w:r>
            <w:r w:rsidR="00B21B4B" w:rsidRPr="00642C18">
              <w:rPr>
                <w:rFonts w:ascii="Arial" w:hAnsi="Arial" w:cs="Arial"/>
                <w:sz w:val="20"/>
                <w:szCs w:val="20"/>
              </w:rPr>
              <w:t>y</w:t>
            </w:r>
            <w:r w:rsidRPr="00642C18">
              <w:rPr>
                <w:rFonts w:ascii="Arial" w:hAnsi="Arial" w:cs="Arial"/>
                <w:sz w:val="20"/>
                <w:szCs w:val="20"/>
              </w:rPr>
              <w:t xml:space="preserve"> with the</w:t>
            </w:r>
            <w:r w:rsidR="00B61FE5" w:rsidRPr="00642C18">
              <w:rPr>
                <w:rFonts w:ascii="Arial" w:hAnsi="Arial" w:cs="Arial"/>
                <w:sz w:val="20"/>
                <w:szCs w:val="20"/>
              </w:rPr>
              <w:t xml:space="preserve"> LGIP template</w:t>
            </w:r>
            <w:r w:rsidRPr="00642C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1243D0" w:rsidRPr="00642C18" w:rsidRDefault="001243D0" w:rsidP="00B61FE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 xml:space="preserve">The identified trunk infrastructure is consistent with the </w:t>
            </w:r>
            <w:r w:rsidR="00EB5986" w:rsidRPr="00642C18">
              <w:rPr>
                <w:rFonts w:ascii="Arial" w:hAnsi="Arial" w:cs="Arial"/>
                <w:i/>
                <w:sz w:val="20"/>
                <w:szCs w:val="20"/>
              </w:rPr>
              <w:t>Planning Act 2016</w:t>
            </w:r>
            <w:r w:rsidR="00EB5986" w:rsidRPr="00642C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2C18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EB5986" w:rsidRPr="00642C18">
              <w:rPr>
                <w:rFonts w:ascii="Arial" w:hAnsi="Arial" w:cs="Arial"/>
                <w:sz w:val="20"/>
                <w:szCs w:val="20"/>
              </w:rPr>
              <w:t xml:space="preserve">the Minister’s </w:t>
            </w:r>
            <w:r w:rsidR="00B61FE5" w:rsidRPr="00642C18">
              <w:rPr>
                <w:rFonts w:ascii="Arial" w:hAnsi="Arial" w:cs="Arial"/>
                <w:sz w:val="20"/>
                <w:szCs w:val="20"/>
              </w:rPr>
              <w:t>Guidelines and</w:t>
            </w:r>
            <w:r w:rsidR="00EB5986" w:rsidRPr="00642C18">
              <w:rPr>
                <w:rFonts w:ascii="Arial" w:hAnsi="Arial" w:cs="Arial"/>
                <w:sz w:val="20"/>
                <w:szCs w:val="20"/>
              </w:rPr>
              <w:t xml:space="preserve"> Rules</w:t>
            </w:r>
            <w:r w:rsidRPr="00642C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The existing and future trunk infrastructure identified in the LGIP is adequate to service at least the area of the PIA.</w:t>
            </w:r>
          </w:p>
        </w:tc>
        <w:tc>
          <w:tcPr>
            <w:tcW w:w="1561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DC3D80" w:rsidRPr="00642C18" w:rsidRDefault="00DC3D8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DC3D80" w:rsidRPr="00642C18" w:rsidRDefault="00DC3D8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DC3D80" w:rsidRPr="00642C18" w:rsidRDefault="00DC3D8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DC3D80" w:rsidRPr="00642C18" w:rsidRDefault="00D9423E" w:rsidP="007F3E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 xml:space="preserve">Future urban areas outside the PIA and the demand </w:t>
            </w:r>
            <w:r w:rsidR="00982204" w:rsidRPr="00642C18">
              <w:rPr>
                <w:rFonts w:ascii="Arial" w:hAnsi="Arial" w:cs="Arial"/>
                <w:sz w:val="20"/>
                <w:szCs w:val="20"/>
              </w:rPr>
              <w:t xml:space="preserve">that will be generated </w:t>
            </w:r>
            <w:r w:rsidRPr="00642C18">
              <w:rPr>
                <w:rFonts w:ascii="Arial" w:hAnsi="Arial" w:cs="Arial"/>
                <w:sz w:val="20"/>
                <w:szCs w:val="20"/>
              </w:rPr>
              <w:t>at ultimate development for the relevant network catchments ha</w:t>
            </w:r>
            <w:r w:rsidR="00982204" w:rsidRPr="00642C18">
              <w:rPr>
                <w:rFonts w:ascii="Arial" w:hAnsi="Arial" w:cs="Arial"/>
                <w:sz w:val="20"/>
                <w:szCs w:val="20"/>
              </w:rPr>
              <w:t>ve</w:t>
            </w:r>
            <w:r w:rsidRPr="00642C18">
              <w:rPr>
                <w:rFonts w:ascii="Arial" w:hAnsi="Arial" w:cs="Arial"/>
                <w:sz w:val="20"/>
                <w:szCs w:val="20"/>
              </w:rPr>
              <w:t xml:space="preserve"> been considered when determining the trunk infrastructure included in the </w:t>
            </w:r>
            <w:r w:rsidR="007F3EB3">
              <w:rPr>
                <w:rFonts w:ascii="Arial" w:hAnsi="Arial" w:cs="Arial"/>
                <w:sz w:val="20"/>
                <w:szCs w:val="20"/>
              </w:rPr>
              <w:t>SOW</w:t>
            </w:r>
            <w:r w:rsidR="00642C18">
              <w:rPr>
                <w:rFonts w:ascii="Arial" w:hAnsi="Arial" w:cs="Arial"/>
                <w:sz w:val="20"/>
                <w:szCs w:val="20"/>
              </w:rPr>
              <w:t xml:space="preserve"> model</w:t>
            </w:r>
            <w:r w:rsidRPr="00642C1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1" w:type="dxa"/>
            <w:shd w:val="clear" w:color="auto" w:fill="F2F2F2"/>
          </w:tcPr>
          <w:p w:rsidR="00DC3D80" w:rsidRPr="00642C18" w:rsidRDefault="00DC3D8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DC3D80" w:rsidRPr="00642C18" w:rsidRDefault="00DC3D8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DC3D80" w:rsidRPr="00642C18" w:rsidRDefault="00DC3D8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DC3D80" w:rsidRPr="00642C18" w:rsidRDefault="00DC3D8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DC3D80" w:rsidRPr="00642C18" w:rsidRDefault="00DC3D8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DC3D80" w:rsidRPr="00642C18" w:rsidRDefault="00DC3D8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1243D0" w:rsidRPr="00642C18" w:rsidRDefault="00011C88" w:rsidP="002C0C0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T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 xml:space="preserve">here </w:t>
            </w:r>
            <w:r w:rsidR="007F3EB3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 xml:space="preserve">alignment of the scope, estimated cost and planned timing of proposed trunk capital works contained in the </w:t>
            </w:r>
            <w:r w:rsidR="007F3EB3">
              <w:rPr>
                <w:rFonts w:ascii="Arial" w:hAnsi="Arial" w:cs="Arial"/>
                <w:sz w:val="20"/>
                <w:szCs w:val="20"/>
              </w:rPr>
              <w:t>SOW</w:t>
            </w:r>
            <w:r w:rsidR="00642C18">
              <w:rPr>
                <w:rFonts w:ascii="Arial" w:hAnsi="Arial" w:cs="Arial"/>
                <w:sz w:val="20"/>
                <w:szCs w:val="20"/>
              </w:rPr>
              <w:t xml:space="preserve"> model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lastRenderedPageBreak/>
              <w:t>and the relevant inputs of the AMP and LTFF</w:t>
            </w:r>
            <w:r w:rsidRPr="00642C18">
              <w:rPr>
                <w:rFonts w:ascii="Arial" w:hAnsi="Arial" w:cs="Arial"/>
                <w:sz w:val="20"/>
                <w:szCs w:val="20"/>
              </w:rPr>
              <w:t>.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43D0" w:rsidRPr="00642C18" w:rsidRDefault="00011C88" w:rsidP="00011C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(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 xml:space="preserve">If not, </w:t>
            </w:r>
            <w:r w:rsidRPr="00642C18">
              <w:rPr>
                <w:rFonts w:ascii="Arial" w:hAnsi="Arial" w:cs="Arial"/>
                <w:sz w:val="20"/>
                <w:szCs w:val="20"/>
              </w:rPr>
              <w:t xml:space="preserve">what 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 xml:space="preserve">process </w:t>
            </w:r>
            <w:r w:rsidRPr="00642C18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1243D0" w:rsidRPr="00642C18">
              <w:rPr>
                <w:rFonts w:ascii="Arial" w:hAnsi="Arial" w:cs="Arial"/>
                <w:sz w:val="20"/>
                <w:szCs w:val="20"/>
              </w:rPr>
              <w:t>underway to achieve this?</w:t>
            </w:r>
            <w:r w:rsidRPr="00642C1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tcBorders>
              <w:bottom w:val="single" w:sz="4" w:space="0" w:color="auto"/>
            </w:tcBorders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tcBorders>
              <w:bottom w:val="single" w:sz="4" w:space="0" w:color="auto"/>
            </w:tcBorders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1243D0" w:rsidRPr="00642C18" w:rsidRDefault="001243D0" w:rsidP="002C0C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1243D0" w:rsidRPr="00642C18" w:rsidRDefault="001243D0" w:rsidP="00642C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The cost of trunk infrastructure identified in the SOW model and schedule of work tables is consistent with legislative requirements.</w:t>
            </w:r>
          </w:p>
        </w:tc>
        <w:tc>
          <w:tcPr>
            <w:tcW w:w="1561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1243D0" w:rsidRPr="00642C18" w:rsidRDefault="001243D0" w:rsidP="002C0C0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 w:val="restart"/>
            <w:shd w:val="clear" w:color="auto" w:fill="auto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shd w:val="clear" w:color="auto" w:fill="auto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2C18">
              <w:rPr>
                <w:rFonts w:ascii="Arial" w:hAnsi="Arial" w:cs="Arial"/>
                <w:b/>
                <w:bCs/>
              </w:rPr>
              <w:t>SOW model</w:t>
            </w:r>
          </w:p>
        </w:tc>
        <w:tc>
          <w:tcPr>
            <w:tcW w:w="1048" w:type="dxa"/>
            <w:shd w:val="clear" w:color="auto" w:fill="auto"/>
          </w:tcPr>
          <w:p w:rsidR="008D18FB" w:rsidRPr="008D18FB" w:rsidRDefault="008D18FB" w:rsidP="008D18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8D18FB" w:rsidRPr="008D18FB" w:rsidRDefault="008D18FB" w:rsidP="007F3E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 xml:space="preserve">The submitted SOW model is consistent with the SOW model included </w:t>
            </w:r>
            <w:r w:rsidR="007F3EB3">
              <w:rPr>
                <w:rFonts w:ascii="Arial" w:hAnsi="Arial" w:cs="Arial"/>
                <w:sz w:val="20"/>
                <w:szCs w:val="20"/>
              </w:rPr>
              <w:t>in</w:t>
            </w:r>
            <w:r w:rsidRPr="00642C18">
              <w:rPr>
                <w:rFonts w:ascii="Arial" w:hAnsi="Arial" w:cs="Arial"/>
                <w:sz w:val="20"/>
                <w:szCs w:val="20"/>
              </w:rPr>
              <w:t xml:space="preserve"> the Minister’s Guidelines and Rules. </w:t>
            </w:r>
          </w:p>
        </w:tc>
        <w:tc>
          <w:tcPr>
            <w:tcW w:w="1561" w:type="dxa"/>
            <w:shd w:val="clear" w:color="auto" w:fill="F2F2F2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shd w:val="clear" w:color="auto" w:fill="auto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8D18FB" w:rsidRPr="008D18FB" w:rsidRDefault="008D18FB" w:rsidP="008D18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8D18FB" w:rsidRPr="008D18FB" w:rsidRDefault="008D18FB" w:rsidP="008D1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The SOW model has been prepared and populated consistent with the Minister’s Guidelines and Rules.</w:t>
            </w:r>
          </w:p>
        </w:tc>
        <w:tc>
          <w:tcPr>
            <w:tcW w:w="1561" w:type="dxa"/>
            <w:shd w:val="clear" w:color="auto" w:fill="F2F2F2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shd w:val="clear" w:color="auto" w:fill="auto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8D18FB" w:rsidRPr="008D18FB" w:rsidRDefault="008D18FB" w:rsidP="008D18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8D18FB" w:rsidRPr="008D18FB" w:rsidRDefault="008D18FB" w:rsidP="008D1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Project owner’s cost and contingency values in the SOW model do not exceed the ranges outlined in the Minister’s Guidelines and Rules.</w:t>
            </w:r>
          </w:p>
        </w:tc>
        <w:tc>
          <w:tcPr>
            <w:tcW w:w="1561" w:type="dxa"/>
            <w:shd w:val="clear" w:color="auto" w:fill="F2F2F2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shd w:val="clear" w:color="auto" w:fill="auto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8D18FB" w:rsidRPr="008D18FB" w:rsidRDefault="008D18FB" w:rsidP="008D18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8D18FB" w:rsidRPr="008D18FB" w:rsidRDefault="008D18FB" w:rsidP="008D1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Infrastructure items included in the SOW model, SOW tables and the PFTI maps are consistent.</w:t>
            </w:r>
          </w:p>
        </w:tc>
        <w:tc>
          <w:tcPr>
            <w:tcW w:w="1561" w:type="dxa"/>
            <w:shd w:val="clear" w:color="auto" w:fill="F2F2F2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shd w:val="clear" w:color="auto" w:fill="auto"/>
          </w:tcPr>
          <w:p w:rsidR="008D18FB" w:rsidRPr="00642C18" w:rsidRDefault="008D18FB" w:rsidP="008D18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42C18">
              <w:rPr>
                <w:rFonts w:ascii="Arial" w:hAnsi="Arial" w:cs="Arial"/>
                <w:b/>
                <w:bCs/>
              </w:rPr>
              <w:t>Extrinsic material</w:t>
            </w:r>
          </w:p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8D18FB" w:rsidRPr="008D18FB" w:rsidRDefault="008D18FB" w:rsidP="008D18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8D18FB" w:rsidRPr="008D18FB" w:rsidRDefault="008D18FB" w:rsidP="008D1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All relevant material including background studies, reports and supporting information that informed the preparation of the proposed LGIP is available and identified in the list of extrinsic material.</w:t>
            </w:r>
          </w:p>
        </w:tc>
        <w:tc>
          <w:tcPr>
            <w:tcW w:w="1561" w:type="dxa"/>
            <w:shd w:val="clear" w:color="auto" w:fill="F2F2F2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23" w:type="dxa"/>
            <w:shd w:val="clear" w:color="auto" w:fill="F2F2F2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1356" w:type="dxa"/>
            <w:shd w:val="clear" w:color="auto" w:fill="D9D9D9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814" w:type="dxa"/>
            <w:shd w:val="clear" w:color="auto" w:fill="D9D9D9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2407" w:type="dxa"/>
            <w:shd w:val="clear" w:color="auto" w:fill="D9D9D9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  <w:tc>
          <w:tcPr>
            <w:tcW w:w="3394" w:type="dxa"/>
            <w:shd w:val="clear" w:color="auto" w:fill="D9D9D9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  <w:r w:rsidRPr="00642C18">
              <w:rPr>
                <w:rFonts w:ascii="Arial" w:hAnsi="Arial" w:cs="Arial"/>
              </w:rPr>
              <w:t> </w:t>
            </w:r>
          </w:p>
        </w:tc>
      </w:tr>
      <w:tr w:rsidR="00D01FCF" w:rsidRPr="008D18FB" w:rsidTr="00D01FCF">
        <w:trPr>
          <w:trHeight w:val="510"/>
        </w:trPr>
        <w:tc>
          <w:tcPr>
            <w:tcW w:w="1341" w:type="dxa"/>
            <w:vMerge/>
            <w:shd w:val="clear" w:color="auto" w:fill="auto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99" w:type="dxa"/>
            <w:shd w:val="clear" w:color="auto" w:fill="auto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shd w:val="clear" w:color="auto" w:fill="auto"/>
          </w:tcPr>
          <w:p w:rsidR="008D18FB" w:rsidRPr="008D18FB" w:rsidRDefault="008D18FB" w:rsidP="008D18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7" w:type="dxa"/>
            <w:shd w:val="clear" w:color="auto" w:fill="auto"/>
          </w:tcPr>
          <w:p w:rsidR="008D18FB" w:rsidRPr="008D18FB" w:rsidRDefault="008D18FB" w:rsidP="008D1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C18">
              <w:rPr>
                <w:rFonts w:ascii="Arial" w:hAnsi="Arial" w:cs="Arial"/>
                <w:sz w:val="20"/>
                <w:szCs w:val="20"/>
              </w:rPr>
              <w:t>The extrinsic material explains the methodology and inter-relationships between the components and assumptions of the LGIP.</w:t>
            </w:r>
          </w:p>
        </w:tc>
        <w:tc>
          <w:tcPr>
            <w:tcW w:w="1561" w:type="dxa"/>
            <w:shd w:val="clear" w:color="auto" w:fill="F2F2F2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23" w:type="dxa"/>
            <w:shd w:val="clear" w:color="auto" w:fill="F2F2F2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6" w:type="dxa"/>
            <w:shd w:val="clear" w:color="auto" w:fill="D9D9D9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14" w:type="dxa"/>
            <w:shd w:val="clear" w:color="auto" w:fill="D9D9D9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7" w:type="dxa"/>
            <w:shd w:val="clear" w:color="auto" w:fill="D9D9D9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94" w:type="dxa"/>
            <w:shd w:val="clear" w:color="auto" w:fill="D9D9D9"/>
          </w:tcPr>
          <w:p w:rsidR="008D18FB" w:rsidRPr="008D18FB" w:rsidRDefault="008D18FB" w:rsidP="008D18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D18FB" w:rsidRDefault="008D18FB"/>
    <w:p w:rsidR="005263AC" w:rsidRDefault="005263AC"/>
    <w:p w:rsidR="005263AC" w:rsidRDefault="005263AC"/>
    <w:p w:rsidR="005263AC" w:rsidRDefault="005263AC"/>
    <w:sectPr w:rsidR="005263AC" w:rsidSect="00514A65">
      <w:footerReference w:type="default" r:id="rId9"/>
      <w:pgSz w:w="23814" w:h="16839" w:orient="landscape" w:code="8"/>
      <w:pgMar w:top="720" w:right="720" w:bottom="1843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FCF" w:rsidRDefault="00D01FCF" w:rsidP="008D18FB">
      <w:pPr>
        <w:spacing w:after="0" w:line="240" w:lineRule="auto"/>
      </w:pPr>
      <w:r>
        <w:separator/>
      </w:r>
    </w:p>
  </w:endnote>
  <w:endnote w:type="continuationSeparator" w:id="0">
    <w:p w:rsidR="00D01FCF" w:rsidRDefault="00D01FCF" w:rsidP="008D1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8FB" w:rsidRPr="006B7887" w:rsidRDefault="008D18FB" w:rsidP="00514A65">
    <w:pPr>
      <w:pStyle w:val="Footer"/>
      <w:spacing w:after="0" w:line="240" w:lineRule="auto"/>
      <w:ind w:right="-23"/>
      <w:jc w:val="right"/>
      <w:rPr>
        <w:rFonts w:ascii="Arial" w:hAnsi="Arial" w:cs="Arial"/>
        <w:sz w:val="16"/>
      </w:rPr>
    </w:pPr>
    <w:r w:rsidRPr="006B7887">
      <w:rPr>
        <w:rFonts w:ascii="Arial" w:hAnsi="Arial" w:cs="Arial"/>
        <w:sz w:val="16"/>
      </w:rPr>
      <w:t xml:space="preserve">Page </w:t>
    </w:r>
    <w:r w:rsidRPr="006B7887">
      <w:rPr>
        <w:rFonts w:ascii="Arial" w:hAnsi="Arial" w:cs="Arial"/>
        <w:sz w:val="16"/>
      </w:rPr>
      <w:fldChar w:fldCharType="begin"/>
    </w:r>
    <w:r w:rsidRPr="006B7887">
      <w:rPr>
        <w:rFonts w:ascii="Arial" w:hAnsi="Arial" w:cs="Arial"/>
        <w:sz w:val="16"/>
      </w:rPr>
      <w:instrText xml:space="preserve"> PAGE   \* MERGEFORMAT </w:instrText>
    </w:r>
    <w:r w:rsidRPr="006B7887">
      <w:rPr>
        <w:rFonts w:ascii="Arial" w:hAnsi="Arial" w:cs="Arial"/>
        <w:sz w:val="16"/>
      </w:rPr>
      <w:fldChar w:fldCharType="separate"/>
    </w:r>
    <w:r w:rsidR="007B1DFE">
      <w:rPr>
        <w:rFonts w:ascii="Arial" w:hAnsi="Arial" w:cs="Arial"/>
        <w:noProof/>
        <w:sz w:val="16"/>
      </w:rPr>
      <w:t>1</w:t>
    </w:r>
    <w:r w:rsidRPr="006B7887">
      <w:rPr>
        <w:rFonts w:ascii="Arial" w:hAnsi="Arial" w:cs="Arial"/>
        <w:sz w:val="16"/>
      </w:rPr>
      <w:fldChar w:fldCharType="end"/>
    </w:r>
    <w:r w:rsidRPr="006B7887">
      <w:rPr>
        <w:rFonts w:ascii="Arial" w:hAnsi="Arial" w:cs="Arial"/>
        <w:sz w:val="16"/>
      </w:rPr>
      <w:t xml:space="preserve"> </w:t>
    </w:r>
  </w:p>
  <w:p w:rsidR="008D18FB" w:rsidRPr="006B7887" w:rsidRDefault="008D18FB" w:rsidP="00514A65">
    <w:pPr>
      <w:pStyle w:val="Footer"/>
      <w:spacing w:after="0" w:line="240" w:lineRule="auto"/>
      <w:ind w:right="-23"/>
      <w:jc w:val="right"/>
      <w:rPr>
        <w:rFonts w:ascii="Arial" w:hAnsi="Arial" w:cs="Arial"/>
        <w:sz w:val="16"/>
      </w:rPr>
    </w:pPr>
    <w:r w:rsidRPr="006B7887">
      <w:rPr>
        <w:rFonts w:ascii="Arial" w:hAnsi="Arial" w:cs="Arial"/>
        <w:sz w:val="16"/>
      </w:rPr>
      <w:t xml:space="preserve">Planning Act Form </w:t>
    </w:r>
    <w:r>
      <w:rPr>
        <w:rFonts w:ascii="Arial" w:hAnsi="Arial" w:cs="Arial"/>
        <w:sz w:val="16"/>
      </w:rPr>
      <w:t xml:space="preserve">MGR5.1 </w:t>
    </w:r>
    <w:r w:rsidRPr="006B7887">
      <w:rPr>
        <w:rFonts w:ascii="Arial" w:hAnsi="Arial" w:cs="Arial"/>
        <w:sz w:val="16"/>
      </w:rPr>
      <w:t>–</w:t>
    </w:r>
    <w:r>
      <w:rPr>
        <w:rFonts w:ascii="Arial" w:hAnsi="Arial" w:cs="Arial"/>
        <w:sz w:val="16"/>
      </w:rPr>
      <w:t xml:space="preserve"> LGIP review checklist</w:t>
    </w:r>
  </w:p>
  <w:p w:rsidR="008D18FB" w:rsidRPr="006B7887" w:rsidRDefault="008D18FB" w:rsidP="00514A65">
    <w:pPr>
      <w:pStyle w:val="Footer"/>
      <w:tabs>
        <w:tab w:val="right" w:pos="7230"/>
      </w:tabs>
      <w:spacing w:after="0" w:line="240" w:lineRule="auto"/>
      <w:ind w:right="-23"/>
      <w:jc w:val="right"/>
      <w:rPr>
        <w:rFonts w:ascii="Arial" w:hAnsi="Arial" w:cs="Arial"/>
        <w:sz w:val="16"/>
      </w:rPr>
    </w:pPr>
    <w:r w:rsidRPr="006B7887">
      <w:rPr>
        <w:rFonts w:ascii="Arial" w:hAnsi="Arial" w:cs="Arial"/>
        <w:sz w:val="16"/>
      </w:rPr>
      <w:tab/>
    </w:r>
    <w:r w:rsidRPr="006B7887">
      <w:rPr>
        <w:rFonts w:ascii="Arial" w:hAnsi="Arial" w:cs="Arial"/>
        <w:sz w:val="16"/>
      </w:rPr>
      <w:tab/>
    </w:r>
    <w:r w:rsidRPr="006B7887">
      <w:rPr>
        <w:rFonts w:ascii="Arial" w:hAnsi="Arial" w:cs="Arial"/>
        <w:sz w:val="16"/>
      </w:rPr>
      <w:tab/>
      <w:t>Version 1.0—</w:t>
    </w:r>
    <w:r>
      <w:rPr>
        <w:rFonts w:ascii="Arial" w:hAnsi="Arial" w:cs="Arial"/>
        <w:sz w:val="16"/>
      </w:rPr>
      <w:t>3 July 2</w:t>
    </w:r>
    <w:r w:rsidRPr="006B7887">
      <w:rPr>
        <w:rFonts w:ascii="Arial" w:hAnsi="Arial" w:cs="Arial"/>
        <w:sz w:val="16"/>
      </w:rPr>
      <w:t>017</w:t>
    </w:r>
  </w:p>
  <w:p w:rsidR="008D18FB" w:rsidRDefault="008D1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FCF" w:rsidRDefault="00D01FCF" w:rsidP="008D18FB">
      <w:pPr>
        <w:spacing w:after="0" w:line="240" w:lineRule="auto"/>
      </w:pPr>
      <w:r>
        <w:separator/>
      </w:r>
    </w:p>
  </w:footnote>
  <w:footnote w:type="continuationSeparator" w:id="0">
    <w:p w:rsidR="00D01FCF" w:rsidRDefault="00D01FCF" w:rsidP="008D1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7388"/>
    <w:multiLevelType w:val="hybridMultilevel"/>
    <w:tmpl w:val="3DCC14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BD491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D233B68"/>
    <w:multiLevelType w:val="multilevel"/>
    <w:tmpl w:val="3208D262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cs="Courier"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567" w:firstLine="0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none"/>
      <w:lvlRestart w:val="0"/>
      <w:suff w:val="nothing"/>
      <w:lvlText w:val="%1"/>
      <w:lvlJc w:val="left"/>
      <w:pPr>
        <w:ind w:left="851" w:firstLine="0"/>
      </w:pPr>
      <w:rPr>
        <w:rFonts w:ascii="Arial" w:hAnsi="Arial" w:hint="default"/>
        <w:b w:val="0"/>
        <w:i/>
        <w:color w:val="auto"/>
        <w:sz w:val="22"/>
        <w:szCs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ascii="Arial" w:hAnsi="Arial" w:hint="default"/>
        <w:b w:val="0"/>
        <w:i w:val="0"/>
        <w:color w:val="000000"/>
        <w:sz w:val="22"/>
        <w:szCs w:val="22"/>
      </w:rPr>
    </w:lvl>
    <w:lvl w:ilvl="4">
      <w:start w:val="1"/>
      <w:numFmt w:val="none"/>
      <w:lvlRestart w:val="0"/>
      <w:suff w:val="nothing"/>
      <w:lvlText w:val=""/>
      <w:lvlJc w:val="left"/>
      <w:pPr>
        <w:ind w:left="1418" w:firstLine="0"/>
      </w:pPr>
      <w:rPr>
        <w:rFonts w:ascii="Arial" w:hAnsi="Arial" w:hint="default"/>
        <w:b w:val="0"/>
        <w:i w:val="0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none"/>
      <w:lvlRestart w:val="0"/>
      <w:suff w:val="nothing"/>
      <w:lvlText w:val=""/>
      <w:lvlJc w:val="left"/>
      <w:pPr>
        <w:ind w:left="1985" w:firstLine="0"/>
      </w:pPr>
      <w:rPr>
        <w:rFonts w:ascii="Arial" w:hAnsi="Arial" w:hint="default"/>
        <w:b w:val="0"/>
        <w:i w:val="0"/>
        <w:color w:val="auto"/>
        <w:sz w:val="22"/>
      </w:rPr>
    </w:lvl>
    <w:lvl w:ilvl="7">
      <w:start w:val="1"/>
      <w:numFmt w:val="none"/>
      <w:lvlRestart w:val="0"/>
      <w:suff w:val="nothing"/>
      <w:lvlText w:val=""/>
      <w:lvlJc w:val="left"/>
      <w:pPr>
        <w:ind w:left="2268" w:firstLine="0"/>
      </w:pPr>
      <w:rPr>
        <w:rFonts w:hint="default"/>
        <w:color w:val="auto"/>
        <w:sz w:val="22"/>
      </w:rPr>
    </w:lvl>
    <w:lvl w:ilvl="8">
      <w:start w:val="1"/>
      <w:numFmt w:val="none"/>
      <w:lvlRestart w:val="0"/>
      <w:suff w:val="nothing"/>
      <w:lvlText w:val=""/>
      <w:lvlJc w:val="left"/>
      <w:pPr>
        <w:ind w:left="2552" w:firstLine="0"/>
      </w:pPr>
      <w:rPr>
        <w:rFonts w:hint="default"/>
        <w:color w:val="auto"/>
      </w:rPr>
    </w:lvl>
  </w:abstractNum>
  <w:abstractNum w:abstractNumId="3">
    <w:nsid w:val="158B2AF0"/>
    <w:multiLevelType w:val="hybridMultilevel"/>
    <w:tmpl w:val="EBF6C0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D58E4"/>
    <w:multiLevelType w:val="hybridMultilevel"/>
    <w:tmpl w:val="D71C06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C77F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3363D1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CE357FB"/>
    <w:multiLevelType w:val="hybridMultilevel"/>
    <w:tmpl w:val="F75E81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6153377"/>
    <w:multiLevelType w:val="hybridMultilevel"/>
    <w:tmpl w:val="43C8E1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717BC5"/>
    <w:multiLevelType w:val="hybridMultilevel"/>
    <w:tmpl w:val="2A3C9B0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94176"/>
    <w:multiLevelType w:val="hybridMultilevel"/>
    <w:tmpl w:val="D5803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FC70FC"/>
    <w:multiLevelType w:val="hybridMultilevel"/>
    <w:tmpl w:val="6576EE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4D29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10"/>
  </w:num>
  <w:num w:numId="7">
    <w:abstractNumId w:val="6"/>
    <w:lvlOverride w:ilvl="0">
      <w:startOverride w:val="1"/>
    </w:lvlOverride>
  </w:num>
  <w:num w:numId="8">
    <w:abstractNumId w:val="12"/>
  </w:num>
  <w:num w:numId="9">
    <w:abstractNumId w:val="4"/>
  </w:num>
  <w:num w:numId="10">
    <w:abstractNumId w:val="0"/>
  </w:num>
  <w:num w:numId="11">
    <w:abstractNumId w:val="5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3AC"/>
    <w:rsid w:val="00011C88"/>
    <w:rsid w:val="00012A16"/>
    <w:rsid w:val="00022889"/>
    <w:rsid w:val="000774D2"/>
    <w:rsid w:val="0008189D"/>
    <w:rsid w:val="000D6044"/>
    <w:rsid w:val="001243D0"/>
    <w:rsid w:val="001479CD"/>
    <w:rsid w:val="001A41C0"/>
    <w:rsid w:val="001D72E3"/>
    <w:rsid w:val="001F6EB4"/>
    <w:rsid w:val="0026642D"/>
    <w:rsid w:val="0027411F"/>
    <w:rsid w:val="0028789D"/>
    <w:rsid w:val="002A4805"/>
    <w:rsid w:val="002C0C04"/>
    <w:rsid w:val="002E29C6"/>
    <w:rsid w:val="002E6837"/>
    <w:rsid w:val="00356FA9"/>
    <w:rsid w:val="00361DFE"/>
    <w:rsid w:val="00373E79"/>
    <w:rsid w:val="00374887"/>
    <w:rsid w:val="00392B99"/>
    <w:rsid w:val="00394B8E"/>
    <w:rsid w:val="003C1EEC"/>
    <w:rsid w:val="003E444B"/>
    <w:rsid w:val="00403F9F"/>
    <w:rsid w:val="00471C12"/>
    <w:rsid w:val="004935A0"/>
    <w:rsid w:val="004B41A3"/>
    <w:rsid w:val="004D2CA7"/>
    <w:rsid w:val="004D528E"/>
    <w:rsid w:val="00514A65"/>
    <w:rsid w:val="005263AC"/>
    <w:rsid w:val="00526A02"/>
    <w:rsid w:val="00593D87"/>
    <w:rsid w:val="005A05FD"/>
    <w:rsid w:val="005E1507"/>
    <w:rsid w:val="00626512"/>
    <w:rsid w:val="00636442"/>
    <w:rsid w:val="00642C18"/>
    <w:rsid w:val="00685029"/>
    <w:rsid w:val="00697521"/>
    <w:rsid w:val="006B4CC0"/>
    <w:rsid w:val="006B7483"/>
    <w:rsid w:val="006C08C2"/>
    <w:rsid w:val="006E33F2"/>
    <w:rsid w:val="00732874"/>
    <w:rsid w:val="007503A7"/>
    <w:rsid w:val="00780201"/>
    <w:rsid w:val="007B1DFE"/>
    <w:rsid w:val="007D6EBC"/>
    <w:rsid w:val="007F3EB3"/>
    <w:rsid w:val="00812E2E"/>
    <w:rsid w:val="008D18FB"/>
    <w:rsid w:val="008E7D79"/>
    <w:rsid w:val="009036D4"/>
    <w:rsid w:val="00910A20"/>
    <w:rsid w:val="00935F90"/>
    <w:rsid w:val="00943620"/>
    <w:rsid w:val="00982204"/>
    <w:rsid w:val="00996F75"/>
    <w:rsid w:val="009B69CB"/>
    <w:rsid w:val="009C3577"/>
    <w:rsid w:val="009D4CC8"/>
    <w:rsid w:val="009E35BC"/>
    <w:rsid w:val="00A937CA"/>
    <w:rsid w:val="00AD0DB9"/>
    <w:rsid w:val="00AD1D51"/>
    <w:rsid w:val="00AD2CD5"/>
    <w:rsid w:val="00AE3415"/>
    <w:rsid w:val="00B21B4B"/>
    <w:rsid w:val="00B301E2"/>
    <w:rsid w:val="00B36533"/>
    <w:rsid w:val="00B440B6"/>
    <w:rsid w:val="00B5372A"/>
    <w:rsid w:val="00B61FE5"/>
    <w:rsid w:val="00BA752C"/>
    <w:rsid w:val="00BB7C18"/>
    <w:rsid w:val="00C2005C"/>
    <w:rsid w:val="00C213AC"/>
    <w:rsid w:val="00C23EB4"/>
    <w:rsid w:val="00C26281"/>
    <w:rsid w:val="00C626B7"/>
    <w:rsid w:val="00C82493"/>
    <w:rsid w:val="00CB09C0"/>
    <w:rsid w:val="00CC50ED"/>
    <w:rsid w:val="00D01FCF"/>
    <w:rsid w:val="00D106B6"/>
    <w:rsid w:val="00D11577"/>
    <w:rsid w:val="00D15ED0"/>
    <w:rsid w:val="00D80A97"/>
    <w:rsid w:val="00D9423E"/>
    <w:rsid w:val="00DA6CE6"/>
    <w:rsid w:val="00DB2CCE"/>
    <w:rsid w:val="00DC3D80"/>
    <w:rsid w:val="00DD708A"/>
    <w:rsid w:val="00E14F78"/>
    <w:rsid w:val="00E20DFB"/>
    <w:rsid w:val="00E80D9B"/>
    <w:rsid w:val="00EB137D"/>
    <w:rsid w:val="00EB5986"/>
    <w:rsid w:val="00EB7689"/>
    <w:rsid w:val="00F341D6"/>
    <w:rsid w:val="00F56E8D"/>
    <w:rsid w:val="00F7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3A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h1,Head1,1.,A MAJOR/BOLD,Schedheading,h1 chapter heading,Heading 1(Report Only),RFP Heading 1,Schedule Heading 1,No numbers,Attribute Heading 1,Underline,Heading apps,69%,Para1,h11,h12,L1,R1,Top 1,ParaLevel1,Level 1 Para,hdg1"/>
    <w:next w:val="BodyText"/>
    <w:link w:val="Heading1Char"/>
    <w:qFormat/>
    <w:rsid w:val="005263AC"/>
    <w:pPr>
      <w:pageBreakBefore/>
      <w:spacing w:after="200"/>
      <w:outlineLvl w:val="0"/>
    </w:pPr>
    <w:rPr>
      <w:rFonts w:ascii="Arial" w:eastAsia="Times New Roman" w:hAnsi="Arial"/>
      <w:b/>
      <w:color w:val="000000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26B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63AC"/>
    <w:pPr>
      <w:ind w:left="720"/>
      <w:contextualSpacing/>
    </w:pPr>
  </w:style>
  <w:style w:type="character" w:customStyle="1" w:styleId="Heading1Char">
    <w:name w:val="Heading 1 Char"/>
    <w:aliases w:val="h1 Char,Head1 Char,1. Char,A MAJOR/BOLD Char,Schedheading Char,h1 chapter heading Char,Heading 1(Report Only) Char,RFP Heading 1 Char,Schedule Heading 1 Char,No numbers Char,Attribute Heading 1 Char,Underline Char,Heading apps Char"/>
    <w:link w:val="Heading1"/>
    <w:rsid w:val="005263AC"/>
    <w:rPr>
      <w:rFonts w:ascii="Arial" w:eastAsia="Times New Roman" w:hAnsi="Arial" w:cs="Times New Roman"/>
      <w:b/>
      <w:color w:val="000000"/>
      <w:sz w:val="40"/>
      <w:szCs w:val="36"/>
      <w:lang w:eastAsia="en-AU"/>
    </w:rPr>
  </w:style>
  <w:style w:type="paragraph" w:customStyle="1" w:styleId="DIPbodytext">
    <w:name w:val="DIP body text"/>
    <w:basedOn w:val="Normal"/>
    <w:link w:val="DIPbodytextChar"/>
    <w:autoRedefine/>
    <w:rsid w:val="005263AC"/>
    <w:pPr>
      <w:widowControl w:val="0"/>
      <w:tabs>
        <w:tab w:val="left" w:pos="1276"/>
      </w:tabs>
      <w:suppressAutoHyphens/>
      <w:spacing w:after="0" w:line="240" w:lineRule="auto"/>
    </w:pPr>
    <w:rPr>
      <w:rFonts w:ascii="Arial" w:eastAsia="Times New Roman" w:hAnsi="Arial"/>
      <w:lang w:eastAsia="en-AU"/>
    </w:rPr>
  </w:style>
  <w:style w:type="character" w:customStyle="1" w:styleId="DIPbodytextChar">
    <w:name w:val="DIP body text Char"/>
    <w:link w:val="DIPbodytext"/>
    <w:rsid w:val="005263AC"/>
    <w:rPr>
      <w:rFonts w:ascii="Arial" w:eastAsia="Times New Roman" w:hAnsi="Arial" w:cs="Times New Roman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5263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63AC"/>
  </w:style>
  <w:style w:type="paragraph" w:styleId="BalloonText">
    <w:name w:val="Balloon Text"/>
    <w:basedOn w:val="Normal"/>
    <w:link w:val="BalloonTextChar"/>
    <w:uiPriority w:val="99"/>
    <w:semiHidden/>
    <w:unhideWhenUsed/>
    <w:rsid w:val="00B44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0B6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D52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528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52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28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528E"/>
    <w:rPr>
      <w:b/>
      <w:bCs/>
      <w:lang w:eastAsia="en-US"/>
    </w:rPr>
  </w:style>
  <w:style w:type="character" w:customStyle="1" w:styleId="Heading2Char">
    <w:name w:val="Heading 2 Char"/>
    <w:link w:val="Heading2"/>
    <w:uiPriority w:val="9"/>
    <w:semiHidden/>
    <w:rsid w:val="00C626B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D18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18F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8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18FB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7F3EB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900C-BF9C-4E53-9816-8E4526EE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Guideline 3/14 Appendix D</vt:lpstr>
    </vt:vector>
  </TitlesOfParts>
  <Company>Queensland Government</Company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Guideline 3/14 Appendix D</dc:title>
  <dc:subject>Statutory Guideline 3/14 Appendix C</dc:subject>
  <dc:creator>Jan Cilliers</dc:creator>
  <cp:keywords/>
  <cp:lastModifiedBy>Danni Murphy</cp:lastModifiedBy>
  <cp:revision>19</cp:revision>
  <dcterms:created xsi:type="dcterms:W3CDTF">2016-06-08T04:36:00Z</dcterms:created>
  <dcterms:modified xsi:type="dcterms:W3CDTF">2017-06-30T01:19:00Z</dcterms:modified>
</cp:coreProperties>
</file>